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3410" w:rsidR="00D436C2" w:rsidP="00DB7395" w:rsidRDefault="00D436C2" w14:paraId="41173A84" w14:textId="77777777">
      <w:pPr>
        <w:pStyle w:val="naislab"/>
        <w:spacing w:before="0" w:after="0"/>
        <w:ind w:firstLine="720"/>
      </w:pPr>
    </w:p>
    <w:p w:rsidRPr="00823410" w:rsidR="007116C7" w:rsidP="00DB7395" w:rsidRDefault="007116C7" w14:paraId="332CB06C" w14:textId="77777777">
      <w:pPr>
        <w:pStyle w:val="naislab"/>
        <w:spacing w:before="0" w:after="0"/>
        <w:ind w:firstLine="720"/>
      </w:pPr>
      <w:r w:rsidRPr="00823410">
        <w:t> </w:t>
      </w:r>
    </w:p>
    <w:p w:rsidRPr="00823410" w:rsidR="007116C7" w:rsidP="00DB7395" w:rsidRDefault="007116C7" w14:paraId="5478EA3D" w14:textId="77777777">
      <w:pPr>
        <w:pStyle w:val="naisnod"/>
        <w:spacing w:before="0" w:after="0"/>
        <w:ind w:firstLine="720"/>
      </w:pPr>
      <w:r w:rsidRPr="00823410">
        <w:t>Izziņa par atzinumos sniegtajiem iebildumiem</w:t>
      </w:r>
    </w:p>
    <w:p w:rsidRPr="00823410"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823410" w:rsidR="00DE5C30" w14:paraId="0716C01F" w14:textId="77777777">
        <w:trPr>
          <w:jc w:val="center"/>
        </w:trPr>
        <w:tc>
          <w:tcPr>
            <w:tcW w:w="10188" w:type="dxa"/>
            <w:tcBorders>
              <w:bottom w:val="single" w:color="000000" w:sz="6" w:space="0"/>
            </w:tcBorders>
          </w:tcPr>
          <w:p w:rsidRPr="00823410" w:rsidR="007116C7" w:rsidP="00710E30" w:rsidRDefault="00710E30" w14:paraId="16C7B927" w14:textId="13F5C4BD">
            <w:pPr>
              <w:jc w:val="center"/>
              <w:rPr>
                <w:b/>
              </w:rPr>
            </w:pPr>
            <w:r>
              <w:rPr>
                <w:b/>
              </w:rPr>
              <w:t xml:space="preserve">par </w:t>
            </w:r>
            <w:r w:rsidRPr="00710E30">
              <w:rPr>
                <w:b/>
              </w:rPr>
              <w:t>Ministru kabineta noteikumu projekt</w:t>
            </w:r>
            <w:r>
              <w:rPr>
                <w:b/>
              </w:rPr>
              <w:t>u</w:t>
            </w:r>
            <w:r w:rsidRPr="00710E30">
              <w:rPr>
                <w:b/>
              </w:rPr>
              <w:t xml:space="preserve"> ,,</w:t>
            </w:r>
            <w:r w:rsidR="00AF222A">
              <w:rPr>
                <w:b/>
              </w:rPr>
              <w:t>Dzelzceļa drošības noteikumi</w:t>
            </w:r>
            <w:r w:rsidRPr="00710E30">
              <w:rPr>
                <w:b/>
              </w:rPr>
              <w:t>”</w:t>
            </w:r>
          </w:p>
        </w:tc>
      </w:tr>
    </w:tbl>
    <w:p w:rsidRPr="00823410" w:rsidR="007B4C0F" w:rsidP="00DB7395" w:rsidRDefault="007B4C0F" w14:paraId="2319BA31" w14:textId="5185D677">
      <w:pPr>
        <w:pStyle w:val="naisf"/>
        <w:spacing w:before="0" w:after="0"/>
        <w:ind w:firstLine="720"/>
      </w:pPr>
    </w:p>
    <w:p w:rsidRPr="00823410" w:rsidR="00960852" w:rsidP="00DB7395" w:rsidRDefault="00960852" w14:paraId="16817A42" w14:textId="77777777">
      <w:pPr>
        <w:pStyle w:val="naisf"/>
        <w:spacing w:before="0" w:after="0"/>
        <w:ind w:firstLine="720"/>
      </w:pPr>
    </w:p>
    <w:p w:rsidRPr="00823410" w:rsidR="007B4C0F" w:rsidP="00184479" w:rsidRDefault="007B4C0F" w14:paraId="2D08B568" w14:textId="77777777">
      <w:pPr>
        <w:pStyle w:val="naisf"/>
        <w:spacing w:before="0" w:after="0"/>
        <w:ind w:firstLine="0"/>
        <w:jc w:val="center"/>
        <w:rPr>
          <w:b/>
        </w:rPr>
      </w:pPr>
      <w:r w:rsidRPr="00823410">
        <w:rPr>
          <w:b/>
        </w:rPr>
        <w:t xml:space="preserve">I. Jautājumi, par kuriem saskaņošanā </w:t>
      </w:r>
      <w:r w:rsidRPr="00823410" w:rsidR="00134188">
        <w:rPr>
          <w:b/>
        </w:rPr>
        <w:t xml:space="preserve">vienošanās </w:t>
      </w:r>
      <w:r w:rsidRPr="00823410">
        <w:rPr>
          <w:b/>
        </w:rPr>
        <w:t>nav panākta</w:t>
      </w:r>
    </w:p>
    <w:p w:rsidRPr="00823410" w:rsidR="007B4C0F" w:rsidP="00DB7395" w:rsidRDefault="007B4C0F" w14:paraId="422414D2" w14:textId="155449F8">
      <w:pPr>
        <w:pStyle w:val="naisf"/>
        <w:spacing w:before="0" w:after="0"/>
        <w:ind w:firstLine="720"/>
      </w:pPr>
    </w:p>
    <w:p w:rsidRPr="00823410" w:rsidR="00960852" w:rsidP="00DB7395" w:rsidRDefault="00960852" w14:paraId="5DA66FF0" w14:textId="77777777">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977"/>
        <w:gridCol w:w="2301"/>
        <w:gridCol w:w="2078"/>
      </w:tblGrid>
      <w:tr w:rsidRPr="00823410" w:rsidR="0003416E" w:rsidTr="004807FD"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8A30D5" w:rsidRDefault="005F4BFD" w14:paraId="7D3FA569" w14:textId="77777777">
            <w:pPr>
              <w:pStyle w:val="naisc"/>
              <w:spacing w:before="0" w:after="0"/>
            </w:pPr>
            <w:r w:rsidRPr="00823410">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364BB6" w:rsidRDefault="005F4BFD" w14:paraId="0DB9A748" w14:textId="77777777">
            <w:pPr>
              <w:pStyle w:val="naisc"/>
              <w:spacing w:before="0" w:after="0"/>
              <w:ind w:firstLine="12"/>
            </w:pPr>
            <w:r w:rsidRPr="00823410">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364BB6" w:rsidRDefault="005F4BFD" w14:paraId="26532BA2" w14:textId="77777777">
            <w:pPr>
              <w:pStyle w:val="naisc"/>
              <w:spacing w:before="0" w:after="0"/>
              <w:ind w:right="3"/>
            </w:pPr>
            <w:r w:rsidRPr="00823410">
              <w:t>Atzinumā norādītais ministrijas (citas institūcijas) iebildums</w:t>
            </w:r>
            <w:r w:rsidRPr="00823410" w:rsidR="00184479">
              <w:t>,</w:t>
            </w:r>
            <w:r w:rsidRPr="00823410" w:rsidR="000E5509">
              <w:t xml:space="preserve"> kā arī saskaņošanā papildus izteiktais iebildums</w:t>
            </w:r>
            <w:r w:rsidRPr="00823410">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D231C2" w:rsidRDefault="005F4BFD" w14:paraId="5FBD9B59" w14:textId="77777777">
            <w:pPr>
              <w:pStyle w:val="naisc"/>
              <w:spacing w:before="0" w:after="0"/>
              <w:ind w:firstLine="21"/>
            </w:pPr>
            <w:r w:rsidRPr="00823410">
              <w:t>Atbildīgās ministrijas pamatojums</w:t>
            </w:r>
            <w:r w:rsidRPr="00823410"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823410" w:rsidR="005F4BFD" w:rsidP="00364BB6" w:rsidRDefault="005F4BFD" w14:paraId="07FD99B3" w14:textId="77777777">
            <w:pPr>
              <w:jc w:val="center"/>
            </w:pPr>
            <w:r w:rsidRPr="00823410">
              <w:t>Atzinuma sniedzēja uzturētais iebildums, ja tas atšķiras no atzinumā norādītā iebilduma pamatojuma</w:t>
            </w:r>
          </w:p>
        </w:tc>
        <w:tc>
          <w:tcPr>
            <w:tcW w:w="2078" w:type="dxa"/>
            <w:tcBorders>
              <w:top w:val="single" w:color="auto" w:sz="4" w:space="0"/>
              <w:left w:val="single" w:color="auto" w:sz="4" w:space="0"/>
              <w:bottom w:val="single" w:color="auto" w:sz="4" w:space="0"/>
            </w:tcBorders>
            <w:shd w:val="clear" w:color="auto" w:fill="auto"/>
            <w:vAlign w:val="center"/>
          </w:tcPr>
          <w:p w:rsidRPr="00823410" w:rsidR="005F4BFD" w:rsidP="00364BB6" w:rsidRDefault="005F4BFD" w14:paraId="26FE1EE0" w14:textId="77777777">
            <w:pPr>
              <w:jc w:val="center"/>
            </w:pPr>
            <w:r w:rsidRPr="00823410">
              <w:t>Projekta attiecīgā punkta (panta) galīgā redakcija</w:t>
            </w:r>
          </w:p>
        </w:tc>
      </w:tr>
      <w:tr w:rsidRPr="00823410" w:rsidR="0003416E" w:rsidTr="004807FD" w14:paraId="69A9AAA3"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8A30D5" w:rsidRDefault="008A36C9" w14:paraId="7A45FF3C" w14:textId="77777777">
            <w:pPr>
              <w:pStyle w:val="naisc"/>
              <w:spacing w:before="0" w:after="0"/>
            </w:pPr>
            <w:r w:rsidRPr="00823410">
              <w:t>1</w:t>
            </w:r>
          </w:p>
        </w:tc>
        <w:tc>
          <w:tcPr>
            <w:tcW w:w="3086"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8A36C9" w:rsidRDefault="008A36C9" w14:paraId="6A5DA664" w14:textId="77777777">
            <w:pPr>
              <w:pStyle w:val="naisc"/>
              <w:spacing w:before="0" w:after="0"/>
              <w:ind w:firstLine="720"/>
            </w:pPr>
            <w:r w:rsidRPr="00823410">
              <w:t>2</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8A36C9" w:rsidRDefault="008A36C9" w14:paraId="25C54570" w14:textId="77777777">
            <w:pPr>
              <w:pStyle w:val="naisc"/>
              <w:spacing w:before="0" w:after="0"/>
              <w:ind w:firstLine="720"/>
            </w:pPr>
            <w:r w:rsidRPr="00823410">
              <w:t>3</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D231C2" w:rsidRDefault="008A36C9" w14:paraId="1C059DE0" w14:textId="77777777">
            <w:pPr>
              <w:pStyle w:val="naisc"/>
              <w:spacing w:before="0" w:after="0"/>
              <w:ind w:firstLine="21"/>
            </w:pPr>
            <w:r w:rsidRPr="00823410">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823410" w:rsidR="005F4BFD" w:rsidP="008A36C9" w:rsidRDefault="008A36C9" w14:paraId="1E865918" w14:textId="77777777">
            <w:pPr>
              <w:jc w:val="center"/>
            </w:pPr>
            <w:r w:rsidRPr="00823410">
              <w:t>5</w:t>
            </w:r>
          </w:p>
        </w:tc>
        <w:tc>
          <w:tcPr>
            <w:tcW w:w="2078" w:type="dxa"/>
            <w:tcBorders>
              <w:top w:val="single" w:color="auto" w:sz="4" w:space="0"/>
              <w:left w:val="single" w:color="auto" w:sz="4" w:space="0"/>
              <w:bottom w:val="single" w:color="auto" w:sz="4" w:space="0"/>
            </w:tcBorders>
            <w:shd w:val="clear" w:color="auto" w:fill="auto"/>
          </w:tcPr>
          <w:p w:rsidRPr="00823410" w:rsidR="005F4BFD" w:rsidP="008A36C9" w:rsidRDefault="008A36C9" w14:paraId="2314A278" w14:textId="77777777">
            <w:pPr>
              <w:jc w:val="center"/>
            </w:pPr>
            <w:r w:rsidRPr="00823410">
              <w:t>6</w:t>
            </w:r>
          </w:p>
        </w:tc>
      </w:tr>
      <w:tr w:rsidRPr="00823410" w:rsidR="00DE5C30" w:rsidTr="004807FD" w14:paraId="0ADA0154" w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2366E" w:rsidRDefault="000C1523" w14:paraId="2D040F4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36D81" w:rsidRDefault="000C1523" w14:paraId="0FCAC507" w14:textId="77777777">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36D81" w:rsidRDefault="000C1523" w14:paraId="70F553CA" w14:textId="77777777">
            <w:pPr>
              <w:pStyle w:val="naisc"/>
              <w:spacing w:before="0" w:after="0"/>
              <w:jc w:val="both"/>
              <w:rPr>
                <w:b/>
              </w:rPr>
            </w:pPr>
          </w:p>
        </w:tc>
        <w:tc>
          <w:tcPr>
            <w:tcW w:w="2977"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155C08" w:rsidRDefault="000C1523" w14:paraId="0E9C59B5" w14:textId="77777777">
            <w:pPr>
              <w:pStyle w:val="naisc"/>
              <w:spacing w:before="0" w:after="0"/>
              <w:ind w:left="34"/>
              <w:jc w:val="both"/>
            </w:pP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36D81" w:rsidRDefault="000C1523" w14:paraId="1F2A28D5" w14:textId="77777777">
            <w:pPr>
              <w:jc w:val="both"/>
            </w:pPr>
          </w:p>
        </w:tc>
        <w:tc>
          <w:tcPr>
            <w:tcW w:w="2078" w:type="dxa"/>
            <w:tcBorders>
              <w:top w:val="single" w:color="auto" w:sz="4" w:space="0"/>
              <w:left w:val="single" w:color="auto" w:sz="4" w:space="0"/>
              <w:bottom w:val="single" w:color="auto" w:sz="4" w:space="0"/>
            </w:tcBorders>
            <w:shd w:val="clear" w:color="auto" w:fill="auto"/>
          </w:tcPr>
          <w:p w:rsidRPr="00823410" w:rsidR="00FF246D" w:rsidP="00FF246D" w:rsidRDefault="00FF246D" w14:paraId="2F6D3012" w14:textId="77777777"/>
        </w:tc>
      </w:tr>
    </w:tbl>
    <w:p w:rsidRPr="00823410" w:rsidR="007B4C0F" w:rsidP="007B4C0F" w:rsidRDefault="007B4C0F" w14:paraId="68719E5F" w14:textId="77777777">
      <w:pPr>
        <w:pStyle w:val="naisf"/>
        <w:spacing w:before="0" w:after="0"/>
        <w:ind w:firstLine="0"/>
      </w:pPr>
    </w:p>
    <w:p w:rsidRPr="00823410" w:rsidR="00E95F4F" w:rsidP="005D67F7" w:rsidRDefault="00E95F4F" w14:paraId="69D59ED1" w14:textId="77777777">
      <w:pPr>
        <w:pStyle w:val="naisf"/>
        <w:spacing w:before="0" w:after="0"/>
        <w:ind w:firstLine="0"/>
        <w:rPr>
          <w:b/>
        </w:rPr>
      </w:pPr>
    </w:p>
    <w:p w:rsidRPr="00823410" w:rsidR="005D67F7" w:rsidP="005D67F7" w:rsidRDefault="005D67F7" w14:paraId="433A9EE1" w14:textId="7A2F985D">
      <w:pPr>
        <w:pStyle w:val="naisf"/>
        <w:spacing w:before="0" w:after="0"/>
        <w:ind w:firstLine="0"/>
        <w:rPr>
          <w:b/>
        </w:rPr>
      </w:pPr>
      <w:r w:rsidRPr="00823410">
        <w:rPr>
          <w:b/>
        </w:rPr>
        <w:t>Informācija par elektronisko saskaņošanu</w:t>
      </w:r>
    </w:p>
    <w:p w:rsidRPr="00916891" w:rsidR="005D67F7" w:rsidP="00916891" w:rsidRDefault="00916891" w14:paraId="3AEDE73E" w14:textId="116A48BE">
      <w:pPr>
        <w:pStyle w:val="naisf"/>
        <w:spacing w:before="0" w:after="0"/>
        <w:ind w:left="4320" w:firstLine="0"/>
        <w:jc w:val="center"/>
        <w:rPr>
          <w:bCs/>
        </w:rPr>
      </w:pPr>
      <w:r w:rsidRPr="00916891">
        <w:rPr>
          <w:bCs/>
        </w:rPr>
        <w:t>26.03.2020., 16.04.2020</w:t>
      </w:r>
      <w:r w:rsidR="00E40A4D">
        <w:rPr>
          <w:bCs/>
        </w:rPr>
        <w:t>.</w:t>
      </w:r>
      <w:r w:rsidRPr="00916891">
        <w:rPr>
          <w:bCs/>
        </w:rPr>
        <w:t>, 27.04.2020</w:t>
      </w:r>
      <w:r w:rsidR="00E40A4D">
        <w:rPr>
          <w:bCs/>
        </w:rPr>
        <w:t>.</w:t>
      </w:r>
      <w:r w:rsidRPr="00916891">
        <w:rPr>
          <w:bCs/>
        </w:rPr>
        <w:t>, 06.05.2020</w:t>
      </w:r>
      <w:r w:rsidR="00E40A4D">
        <w:rPr>
          <w:bCs/>
        </w:rPr>
        <w:t>.</w:t>
      </w:r>
      <w:r w:rsidRPr="006C6F44">
        <w:rPr>
          <w:bCs/>
        </w:rPr>
        <w:t>, 18.05.2020.</w:t>
      </w:r>
    </w:p>
    <w:tbl>
      <w:tblPr>
        <w:tblW w:w="12572" w:type="dxa"/>
        <w:tblLook w:val="00A0" w:firstRow="1" w:lastRow="0" w:firstColumn="1" w:lastColumn="0" w:noHBand="0" w:noVBand="0"/>
      </w:tblPr>
      <w:tblGrid>
        <w:gridCol w:w="6340"/>
        <w:gridCol w:w="363"/>
        <w:gridCol w:w="839"/>
        <w:gridCol w:w="5030"/>
      </w:tblGrid>
      <w:tr w:rsidRPr="00823410" w:rsidR="0061004F" w:rsidTr="00960852" w14:paraId="163E654A" w14:textId="77777777">
        <w:trPr>
          <w:trHeight w:val="272"/>
        </w:trPr>
        <w:tc>
          <w:tcPr>
            <w:tcW w:w="6340" w:type="dxa"/>
          </w:tcPr>
          <w:p w:rsidRPr="00823410" w:rsidR="007B4C0F" w:rsidP="0061004F" w:rsidRDefault="005D67F7" w14:paraId="53CD16A1" w14:textId="77777777">
            <w:pPr>
              <w:pStyle w:val="naisf"/>
              <w:spacing w:before="0" w:after="0"/>
              <w:ind w:firstLine="0"/>
            </w:pPr>
            <w:r w:rsidRPr="00823410">
              <w:t>D</w:t>
            </w:r>
            <w:r w:rsidRPr="00823410" w:rsidR="007B4C0F">
              <w:t>atums</w:t>
            </w:r>
          </w:p>
        </w:tc>
        <w:tc>
          <w:tcPr>
            <w:tcW w:w="6232" w:type="dxa"/>
            <w:gridSpan w:val="3"/>
            <w:tcBorders>
              <w:bottom w:val="single" w:color="auto" w:sz="4" w:space="0"/>
            </w:tcBorders>
          </w:tcPr>
          <w:p w:rsidRPr="00823410" w:rsidR="007B4C0F" w:rsidP="00F435C8" w:rsidRDefault="007B4C0F" w14:paraId="7DEA07E9" w14:textId="37520B23">
            <w:pPr>
              <w:pStyle w:val="NormalWeb"/>
              <w:spacing w:before="0" w:beforeAutospacing="0" w:after="0" w:afterAutospacing="0"/>
              <w:ind w:firstLine="720"/>
              <w:jc w:val="both"/>
              <w:rPr>
                <w:highlight w:val="yellow"/>
              </w:rPr>
            </w:pPr>
          </w:p>
        </w:tc>
      </w:tr>
      <w:tr w:rsidRPr="00823410" w:rsidR="0061004F" w:rsidTr="00960852" w14:paraId="62FDA7F5" w14:textId="77777777">
        <w:trPr>
          <w:trHeight w:val="262"/>
        </w:trPr>
        <w:tc>
          <w:tcPr>
            <w:tcW w:w="6340" w:type="dxa"/>
          </w:tcPr>
          <w:p w:rsidRPr="00823410" w:rsidR="003C27A2" w:rsidP="0061004F" w:rsidRDefault="003C27A2" w14:paraId="72C0943B" w14:textId="77777777">
            <w:pPr>
              <w:pStyle w:val="naisf"/>
              <w:spacing w:before="0" w:after="0"/>
              <w:ind w:firstLine="0"/>
            </w:pPr>
          </w:p>
        </w:tc>
        <w:tc>
          <w:tcPr>
            <w:tcW w:w="6232" w:type="dxa"/>
            <w:gridSpan w:val="3"/>
            <w:tcBorders>
              <w:top w:val="single" w:color="auto" w:sz="4" w:space="0"/>
            </w:tcBorders>
          </w:tcPr>
          <w:p w:rsidRPr="00823410" w:rsidR="003C27A2" w:rsidP="00F435C8" w:rsidRDefault="003C27A2" w14:paraId="61039F28" w14:textId="77777777">
            <w:pPr>
              <w:pStyle w:val="NormalWeb"/>
              <w:spacing w:before="0" w:beforeAutospacing="0" w:after="0" w:afterAutospacing="0"/>
              <w:ind w:firstLine="720"/>
              <w:jc w:val="both"/>
              <w:rPr>
                <w:highlight w:val="yellow"/>
              </w:rPr>
            </w:pPr>
          </w:p>
        </w:tc>
      </w:tr>
      <w:tr w:rsidRPr="00823410" w:rsidR="0061004F" w:rsidTr="00960852" w14:paraId="2CA25114" w14:textId="77777777">
        <w:trPr>
          <w:trHeight w:val="1624"/>
        </w:trPr>
        <w:tc>
          <w:tcPr>
            <w:tcW w:w="6340" w:type="dxa"/>
          </w:tcPr>
          <w:p w:rsidRPr="00823410" w:rsidR="00A0310B" w:rsidP="00F435C8" w:rsidRDefault="00365CC0" w14:paraId="38214775" w14:textId="77777777">
            <w:pPr>
              <w:pStyle w:val="naiskr"/>
              <w:spacing w:before="0" w:after="0"/>
              <w:jc w:val="both"/>
            </w:pPr>
            <w:r w:rsidRPr="00823410">
              <w:t>Saskaņošanas dalībnieki</w:t>
            </w:r>
          </w:p>
          <w:p w:rsidRPr="00823410" w:rsidR="00A0310B" w:rsidP="00F435C8" w:rsidRDefault="00A0310B" w14:paraId="6FBF2B18" w14:textId="77777777">
            <w:pPr>
              <w:jc w:val="both"/>
            </w:pPr>
          </w:p>
          <w:p w:rsidRPr="00823410" w:rsidR="00A0310B" w:rsidP="00F435C8" w:rsidRDefault="00A0310B" w14:paraId="13E51E86" w14:textId="77777777">
            <w:pPr>
              <w:jc w:val="both"/>
            </w:pPr>
          </w:p>
          <w:p w:rsidRPr="00823410" w:rsidR="00A0310B" w:rsidP="00F435C8" w:rsidRDefault="00A0310B" w14:paraId="57D0B63F" w14:textId="77777777">
            <w:pPr>
              <w:jc w:val="both"/>
            </w:pPr>
          </w:p>
          <w:p w:rsidRPr="00823410" w:rsidR="00A0310B" w:rsidP="00F435C8" w:rsidRDefault="00A0310B" w14:paraId="7CEC783C" w14:textId="77777777">
            <w:pPr>
              <w:jc w:val="both"/>
            </w:pPr>
          </w:p>
          <w:p w:rsidRPr="00823410" w:rsidR="007B4C0F" w:rsidP="00F435C8" w:rsidRDefault="00A0310B" w14:paraId="16CD7E79" w14:textId="77777777">
            <w:pPr>
              <w:tabs>
                <w:tab w:val="left" w:pos="1440"/>
              </w:tabs>
              <w:jc w:val="both"/>
            </w:pPr>
            <w:r w:rsidRPr="00823410">
              <w:tab/>
            </w:r>
          </w:p>
        </w:tc>
        <w:tc>
          <w:tcPr>
            <w:tcW w:w="6232" w:type="dxa"/>
            <w:gridSpan w:val="3"/>
          </w:tcPr>
          <w:p w:rsidRPr="00823410" w:rsidR="00960852" w:rsidP="0061004F" w:rsidRDefault="00037B68" w14:paraId="6F080011" w14:textId="338948EB">
            <w:pPr>
              <w:pStyle w:val="NormalWeb"/>
              <w:jc w:val="both"/>
            </w:pPr>
            <w:r w:rsidRPr="00823410">
              <w:t xml:space="preserve">Finanšu ministrija, </w:t>
            </w:r>
            <w:r w:rsidRPr="00823410" w:rsidR="004C55FE">
              <w:t xml:space="preserve">Tieslietu ministrija, </w:t>
            </w:r>
            <w:r w:rsidRPr="00823410" w:rsidR="00CA0835">
              <w:t>Aizsardzības ministrija un</w:t>
            </w:r>
            <w:r w:rsidRPr="00823410" w:rsidR="00057CA7">
              <w:t xml:space="preserve"> </w:t>
            </w:r>
            <w:r w:rsidRPr="00823410" w:rsidR="004C55FE">
              <w:t>Latvijas Brīvo arodbiedrību savienība</w:t>
            </w:r>
            <w:r w:rsidRPr="00823410" w:rsidR="001B58E0">
              <w:t>.</w:t>
            </w:r>
          </w:p>
          <w:p w:rsidRPr="00823410" w:rsidR="00960852" w:rsidP="00F435C8" w:rsidRDefault="00960852" w14:paraId="119D4175" w14:textId="7E6E02B0">
            <w:pPr>
              <w:jc w:val="both"/>
            </w:pPr>
          </w:p>
          <w:p w:rsidRPr="00823410" w:rsidR="007B4C0F" w:rsidP="00F435C8" w:rsidRDefault="007B4C0F" w14:paraId="71B57EBE" w14:textId="06928857">
            <w:pPr>
              <w:jc w:val="both"/>
            </w:pPr>
          </w:p>
        </w:tc>
      </w:tr>
      <w:tr w:rsidRPr="00823410" w:rsidR="0061004F" w:rsidTr="00960852" w14:paraId="25957ED3" w14:textId="77777777">
        <w:trPr>
          <w:trHeight w:val="262"/>
        </w:trPr>
        <w:tc>
          <w:tcPr>
            <w:tcW w:w="6340" w:type="dxa"/>
          </w:tcPr>
          <w:p w:rsidRPr="00823410" w:rsidR="004C55FE" w:rsidP="00F435C8" w:rsidRDefault="004C55FE" w14:paraId="33FA737D" w14:textId="77777777">
            <w:pPr>
              <w:pStyle w:val="naiskr"/>
              <w:spacing w:before="0" w:after="0"/>
              <w:jc w:val="both"/>
            </w:pPr>
          </w:p>
        </w:tc>
        <w:tc>
          <w:tcPr>
            <w:tcW w:w="6232" w:type="dxa"/>
            <w:gridSpan w:val="3"/>
          </w:tcPr>
          <w:p w:rsidRPr="00823410" w:rsidR="004C55FE" w:rsidP="0061004F" w:rsidRDefault="004C55FE" w14:paraId="2A2D43F9" w14:textId="77777777">
            <w:pPr>
              <w:pStyle w:val="NormalWeb"/>
              <w:jc w:val="both"/>
            </w:pPr>
          </w:p>
        </w:tc>
      </w:tr>
      <w:tr w:rsidRPr="00823410" w:rsidR="0061004F" w:rsidTr="00960852" w14:paraId="7054AB31" w14:textId="77777777">
        <w:trPr>
          <w:trHeight w:val="278"/>
        </w:trPr>
        <w:tc>
          <w:tcPr>
            <w:tcW w:w="6340" w:type="dxa"/>
          </w:tcPr>
          <w:p w:rsidRPr="00823410" w:rsidR="000D0AED" w:rsidP="00F435C8" w:rsidRDefault="000D0AED" w14:paraId="2EB940A7" w14:textId="77777777">
            <w:pPr>
              <w:pStyle w:val="naiskr"/>
              <w:spacing w:before="0" w:after="0"/>
              <w:jc w:val="both"/>
            </w:pPr>
          </w:p>
        </w:tc>
        <w:tc>
          <w:tcPr>
            <w:tcW w:w="1202" w:type="dxa"/>
            <w:gridSpan w:val="2"/>
          </w:tcPr>
          <w:p w:rsidRPr="00823410" w:rsidR="000D0AED" w:rsidP="00F435C8" w:rsidRDefault="000D0AED" w14:paraId="13F221B5" w14:textId="77777777">
            <w:pPr>
              <w:pStyle w:val="naiskr"/>
              <w:spacing w:before="0" w:after="0"/>
              <w:ind w:firstLine="720"/>
              <w:jc w:val="both"/>
            </w:pPr>
          </w:p>
        </w:tc>
        <w:tc>
          <w:tcPr>
            <w:tcW w:w="5030" w:type="dxa"/>
          </w:tcPr>
          <w:p w:rsidRPr="00823410" w:rsidR="000D0AED" w:rsidP="00F435C8" w:rsidRDefault="000D0AED" w14:paraId="4B03EAD4" w14:textId="77777777">
            <w:pPr>
              <w:pStyle w:val="naiskr"/>
              <w:spacing w:before="0" w:after="0"/>
              <w:ind w:firstLine="12"/>
              <w:jc w:val="both"/>
              <w:rPr>
                <w:highlight w:val="yellow"/>
              </w:rPr>
            </w:pPr>
          </w:p>
        </w:tc>
      </w:tr>
      <w:tr w:rsidRPr="00823410" w:rsidR="0061004F" w:rsidTr="00960852" w14:paraId="05BAB749" w14:textId="77777777">
        <w:trPr>
          <w:trHeight w:val="278"/>
        </w:trPr>
        <w:tc>
          <w:tcPr>
            <w:tcW w:w="6703" w:type="dxa"/>
            <w:gridSpan w:val="2"/>
          </w:tcPr>
          <w:p w:rsidRPr="00823410" w:rsidR="007B4C0F" w:rsidP="00F435C8" w:rsidRDefault="00365CC0" w14:paraId="7B387161" w14:textId="77777777">
            <w:pPr>
              <w:pStyle w:val="naiskr"/>
              <w:spacing w:before="0" w:after="0"/>
              <w:jc w:val="both"/>
            </w:pPr>
            <w:r w:rsidRPr="00823410">
              <w:t xml:space="preserve">Saskaņošanas dalībnieki </w:t>
            </w:r>
            <w:r w:rsidRPr="00823410" w:rsidR="007B4C0F">
              <w:t>izskatīja</w:t>
            </w:r>
            <w:r w:rsidRPr="00823410" w:rsidR="005D67F7">
              <w:t xml:space="preserve"> šādu ministriju </w:t>
            </w:r>
            <w:r w:rsidRPr="00823410" w:rsidR="003E4C3F">
              <w:t>(c</w:t>
            </w:r>
            <w:r w:rsidRPr="00823410" w:rsidR="005D67F7">
              <w:t>itu institūciju</w:t>
            </w:r>
            <w:r w:rsidRPr="00823410" w:rsidR="003E4C3F">
              <w:t>)</w:t>
            </w:r>
            <w:r w:rsidRPr="00823410" w:rsidR="005D67F7">
              <w:t xml:space="preserve"> iebildumus</w:t>
            </w:r>
          </w:p>
        </w:tc>
        <w:tc>
          <w:tcPr>
            <w:tcW w:w="839" w:type="dxa"/>
          </w:tcPr>
          <w:p w:rsidRPr="00823410" w:rsidR="007B4C0F" w:rsidP="00F435C8" w:rsidRDefault="007B4C0F" w14:paraId="3F629CBC" w14:textId="77777777">
            <w:pPr>
              <w:pStyle w:val="naiskr"/>
              <w:spacing w:before="0" w:after="0"/>
              <w:ind w:firstLine="720"/>
              <w:jc w:val="both"/>
              <w:rPr>
                <w:highlight w:val="yellow"/>
              </w:rPr>
            </w:pPr>
          </w:p>
        </w:tc>
        <w:tc>
          <w:tcPr>
            <w:tcW w:w="5030" w:type="dxa"/>
          </w:tcPr>
          <w:p w:rsidRPr="00823410" w:rsidR="007B4C0F" w:rsidP="00F435C8" w:rsidRDefault="007B4C0F" w14:paraId="4523B3EF" w14:textId="77777777">
            <w:pPr>
              <w:pStyle w:val="naiskr"/>
              <w:spacing w:before="0" w:after="0"/>
              <w:ind w:firstLine="12"/>
              <w:jc w:val="both"/>
              <w:rPr>
                <w:highlight w:val="yellow"/>
              </w:rPr>
            </w:pPr>
          </w:p>
        </w:tc>
      </w:tr>
      <w:tr w:rsidRPr="00823410" w:rsidR="0061004F" w:rsidTr="00960852" w14:paraId="2C190321" w14:textId="77777777">
        <w:trPr>
          <w:trHeight w:val="454"/>
        </w:trPr>
        <w:tc>
          <w:tcPr>
            <w:tcW w:w="6703" w:type="dxa"/>
            <w:gridSpan w:val="2"/>
          </w:tcPr>
          <w:p w:rsidRPr="00823410" w:rsidR="003C27A2" w:rsidP="00F435C8" w:rsidRDefault="003C27A2" w14:paraId="67162EBA" w14:textId="77777777">
            <w:pPr>
              <w:pStyle w:val="naiskr"/>
              <w:spacing w:before="0" w:after="0"/>
              <w:ind w:firstLine="720"/>
              <w:jc w:val="both"/>
            </w:pPr>
            <w:r w:rsidRPr="00823410">
              <w:t>  </w:t>
            </w:r>
          </w:p>
        </w:tc>
        <w:tc>
          <w:tcPr>
            <w:tcW w:w="5869" w:type="dxa"/>
            <w:gridSpan w:val="2"/>
            <w:tcBorders>
              <w:top w:val="single" w:color="000000" w:sz="6" w:space="0"/>
              <w:bottom w:val="single" w:color="000000" w:sz="6" w:space="0"/>
            </w:tcBorders>
          </w:tcPr>
          <w:p w:rsidRPr="00823410" w:rsidR="003C27A2" w:rsidP="0061004F" w:rsidRDefault="00011AB2" w14:paraId="590B9326" w14:textId="34BF1D56">
            <w:pPr>
              <w:pStyle w:val="NormalWeb"/>
              <w:spacing w:before="0" w:beforeAutospacing="0" w:after="0" w:afterAutospacing="0"/>
              <w:jc w:val="both"/>
              <w:rPr>
                <w:highlight w:val="yellow"/>
              </w:rPr>
            </w:pPr>
            <w:r w:rsidRPr="00823410">
              <w:t>Tieslietu ministrija.</w:t>
            </w:r>
          </w:p>
        </w:tc>
      </w:tr>
      <w:tr w:rsidRPr="00823410" w:rsidR="0061004F" w:rsidTr="00960852" w14:paraId="672CE15E" w14:textId="77777777">
        <w:trPr>
          <w:trHeight w:val="454"/>
        </w:trPr>
        <w:tc>
          <w:tcPr>
            <w:tcW w:w="12572" w:type="dxa"/>
            <w:gridSpan w:val="4"/>
          </w:tcPr>
          <w:p w:rsidRPr="00823410" w:rsidR="007B4C0F" w:rsidP="00F435C8" w:rsidRDefault="007B4C0F" w14:paraId="5699D929" w14:textId="77777777">
            <w:pPr>
              <w:pStyle w:val="naisc"/>
              <w:spacing w:before="0" w:after="0"/>
              <w:jc w:val="both"/>
            </w:pPr>
          </w:p>
        </w:tc>
      </w:tr>
      <w:tr w:rsidRPr="00823410" w:rsidR="0061004F" w:rsidTr="00960852" w14:paraId="0BAD432E" w14:textId="77777777">
        <w:trPr>
          <w:trHeight w:val="807"/>
        </w:trPr>
        <w:tc>
          <w:tcPr>
            <w:tcW w:w="6703" w:type="dxa"/>
            <w:gridSpan w:val="2"/>
          </w:tcPr>
          <w:p w:rsidRPr="00823410" w:rsidR="007B4C0F" w:rsidP="00F435C8" w:rsidRDefault="007B4C0F" w14:paraId="3FCECD6F" w14:textId="77777777">
            <w:pPr>
              <w:pStyle w:val="naiskr"/>
              <w:spacing w:before="0" w:after="0"/>
              <w:jc w:val="both"/>
            </w:pPr>
            <w:r w:rsidRPr="00823410">
              <w:lastRenderedPageBreak/>
              <w:t>Ministrijas (citas institūcijas), kuras nav ieradušās uz sanāksmi vai kuras nav atbildējušas uz uzaicinājumu piedalīties elektroniskajā saskaņošanā</w:t>
            </w:r>
          </w:p>
        </w:tc>
        <w:tc>
          <w:tcPr>
            <w:tcW w:w="5869" w:type="dxa"/>
            <w:gridSpan w:val="2"/>
          </w:tcPr>
          <w:p w:rsidRPr="00823410" w:rsidR="007B4C0F" w:rsidP="00F435C8" w:rsidRDefault="007B4C0F" w14:paraId="7BABDF95" w14:textId="77777777">
            <w:pPr>
              <w:pStyle w:val="naiskr"/>
              <w:spacing w:before="0" w:after="0"/>
              <w:jc w:val="both"/>
              <w:rPr>
                <w:highlight w:val="yellow"/>
              </w:rPr>
            </w:pPr>
          </w:p>
        </w:tc>
      </w:tr>
      <w:tr w:rsidRPr="00823410" w:rsidR="0061004F" w:rsidTr="00960852" w14:paraId="5935E57F" w14:textId="77777777">
        <w:trPr>
          <w:trHeight w:val="262"/>
        </w:trPr>
        <w:tc>
          <w:tcPr>
            <w:tcW w:w="6703" w:type="dxa"/>
            <w:gridSpan w:val="2"/>
          </w:tcPr>
          <w:p w:rsidRPr="00823410" w:rsidR="007B4C0F" w:rsidP="00F435C8" w:rsidRDefault="007B4C0F" w14:paraId="10F6EC7E" w14:textId="77777777">
            <w:pPr>
              <w:pStyle w:val="naiskr"/>
              <w:spacing w:before="0" w:after="0"/>
              <w:ind w:firstLine="720"/>
              <w:jc w:val="both"/>
            </w:pPr>
            <w:r w:rsidRPr="00823410">
              <w:t>  </w:t>
            </w:r>
          </w:p>
        </w:tc>
        <w:tc>
          <w:tcPr>
            <w:tcW w:w="5869" w:type="dxa"/>
            <w:gridSpan w:val="2"/>
            <w:tcBorders>
              <w:top w:val="single" w:color="000000" w:sz="6" w:space="0"/>
              <w:bottom w:val="single" w:color="000000" w:sz="6" w:space="0"/>
            </w:tcBorders>
          </w:tcPr>
          <w:p w:rsidRPr="00823410" w:rsidR="007B4C0F" w:rsidP="0061004F" w:rsidRDefault="007B4C0F" w14:paraId="6BDB5AC3" w14:textId="4A790E03">
            <w:pPr>
              <w:pStyle w:val="naiskr"/>
              <w:spacing w:before="0" w:after="0"/>
              <w:jc w:val="both"/>
            </w:pPr>
          </w:p>
        </w:tc>
      </w:tr>
      <w:tr w:rsidRPr="00823410" w:rsidR="0061004F" w:rsidTr="00960852" w14:paraId="6C23A5B3" w14:textId="77777777">
        <w:trPr>
          <w:gridAfter w:val="2"/>
          <w:wAfter w:w="5869" w:type="dxa"/>
          <w:trHeight w:val="262"/>
        </w:trPr>
        <w:tc>
          <w:tcPr>
            <w:tcW w:w="6703" w:type="dxa"/>
            <w:gridSpan w:val="2"/>
          </w:tcPr>
          <w:p w:rsidRPr="00823410" w:rsidR="00FF2CEA" w:rsidP="00F435C8" w:rsidRDefault="00FF2CEA" w14:paraId="03B22051" w14:textId="77777777">
            <w:pPr>
              <w:pStyle w:val="naiskr"/>
              <w:spacing w:before="0" w:after="0"/>
              <w:ind w:firstLine="720"/>
              <w:jc w:val="both"/>
            </w:pPr>
            <w:r w:rsidRPr="00823410">
              <w:t>  </w:t>
            </w:r>
          </w:p>
        </w:tc>
      </w:tr>
    </w:tbl>
    <w:p w:rsidRPr="00823410" w:rsidR="00960852" w:rsidP="0061004F" w:rsidRDefault="00960852" w14:paraId="3B6FB86D" w14:textId="32B1789B">
      <w:pPr>
        <w:pStyle w:val="naisf"/>
        <w:spacing w:before="0" w:after="0"/>
        <w:ind w:firstLine="720"/>
      </w:pPr>
    </w:p>
    <w:p w:rsidRPr="00823410" w:rsidR="00FF2CEA" w:rsidP="00F435C8" w:rsidRDefault="00FF2CEA" w14:paraId="74D592F1" w14:textId="40731F5D">
      <w:pPr>
        <w:pStyle w:val="naisf"/>
        <w:spacing w:before="0" w:after="0"/>
        <w:ind w:firstLine="720"/>
      </w:pPr>
    </w:p>
    <w:p w:rsidRPr="00823410" w:rsidR="007B4C0F" w:rsidP="00F435C8" w:rsidRDefault="007B4C0F" w14:paraId="169D038F" w14:textId="77777777">
      <w:pPr>
        <w:pStyle w:val="naisf"/>
        <w:spacing w:before="0" w:after="0"/>
        <w:ind w:firstLine="0"/>
        <w:rPr>
          <w:b/>
        </w:rPr>
      </w:pPr>
      <w:r w:rsidRPr="00823410">
        <w:rPr>
          <w:b/>
        </w:rPr>
        <w:t>II. </w:t>
      </w:r>
      <w:r w:rsidRPr="00823410" w:rsidR="00134188">
        <w:rPr>
          <w:b/>
        </w:rPr>
        <w:t>Jautājumi, par kuriem saskaņošanā vienošan</w:t>
      </w:r>
      <w:r w:rsidRPr="00823410" w:rsidR="00144622">
        <w:rPr>
          <w:b/>
        </w:rPr>
        <w:t>ā</w:t>
      </w:r>
      <w:r w:rsidRPr="00823410" w:rsidR="00134188">
        <w:rPr>
          <w:b/>
        </w:rPr>
        <w:t>s ir panākta</w:t>
      </w:r>
    </w:p>
    <w:p w:rsidRPr="00823410" w:rsidR="007B4C0F" w:rsidP="0061004F" w:rsidRDefault="007B4C0F" w14:paraId="209E501B" w14:textId="77777777">
      <w:pPr>
        <w:pStyle w:val="naisf"/>
        <w:spacing w:before="0" w:after="0"/>
        <w:ind w:firstLine="720"/>
      </w:pPr>
    </w:p>
    <w:tbl>
      <w:tblPr>
        <w:tblW w:w="14459"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508"/>
        <w:gridCol w:w="593"/>
        <w:gridCol w:w="1056"/>
        <w:gridCol w:w="1611"/>
        <w:gridCol w:w="1302"/>
        <w:gridCol w:w="2951"/>
        <w:gridCol w:w="2126"/>
        <w:gridCol w:w="451"/>
        <w:gridCol w:w="2126"/>
        <w:gridCol w:w="1701"/>
      </w:tblGrid>
      <w:tr w:rsidRPr="00823410" w:rsidR="0061004F" w:rsidTr="00EF01D0" w14:paraId="06A99BE8" w14:textId="77777777">
        <w:tc>
          <w:tcPr>
            <w:tcW w:w="113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134188" w:rsidP="00F435C8" w:rsidRDefault="00134188" w14:paraId="7473D666" w14:textId="77777777">
            <w:pPr>
              <w:pStyle w:val="naisc"/>
              <w:spacing w:before="0" w:after="0"/>
              <w:jc w:val="both"/>
            </w:pPr>
            <w:r w:rsidRPr="00823410">
              <w:t>Nr. p.k.</w:t>
            </w:r>
          </w:p>
        </w:tc>
        <w:tc>
          <w:tcPr>
            <w:tcW w:w="396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134188" w:rsidP="00F435C8" w:rsidRDefault="00134188" w14:paraId="1AF508E8" w14:textId="77777777">
            <w:pPr>
              <w:pStyle w:val="naisc"/>
              <w:spacing w:before="0" w:after="0"/>
              <w:ind w:firstLine="12"/>
              <w:jc w:val="both"/>
            </w:pPr>
            <w:r w:rsidRPr="00823410">
              <w:t>Saskaņošanai nosūtītā projekta redakcija (konkrēta punkta (panta) redakcija)</w:t>
            </w:r>
          </w:p>
        </w:tc>
        <w:tc>
          <w:tcPr>
            <w:tcW w:w="552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134188" w:rsidP="00F435C8" w:rsidRDefault="00134188" w14:paraId="45637DE1" w14:textId="77777777">
            <w:pPr>
              <w:pStyle w:val="naisc"/>
              <w:spacing w:before="0" w:after="0"/>
              <w:ind w:right="3"/>
              <w:jc w:val="both"/>
            </w:pPr>
            <w:r w:rsidRPr="00823410">
              <w:t>Atzinumā norādītais ministrijas (citas institūcijas) iebildums, kā arī saskaņošanā papildus izteiktais iebildums par projekta konkrēto punktu (pantu)</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134188" w:rsidP="00F435C8" w:rsidRDefault="00134188" w14:paraId="14E0F32A" w14:textId="77777777">
            <w:pPr>
              <w:pStyle w:val="naisc"/>
              <w:spacing w:before="0" w:after="0"/>
              <w:ind w:firstLine="21"/>
              <w:jc w:val="both"/>
            </w:pPr>
            <w:r w:rsidRPr="00823410">
              <w:t>Atbildīgās ministrijas norāde</w:t>
            </w:r>
            <w:r w:rsidRPr="00823410" w:rsidR="006C1C48">
              <w:t xml:space="preserve"> par to, ka </w:t>
            </w:r>
            <w:r w:rsidRPr="00823410">
              <w:t>iebildums ir ņemts vērā</w:t>
            </w:r>
            <w:r w:rsidRPr="00823410" w:rsidR="006455E7">
              <w:t>,</w:t>
            </w:r>
            <w:r w:rsidRPr="00823410">
              <w:t xml:space="preserve"> vai </w:t>
            </w:r>
            <w:r w:rsidRPr="00823410" w:rsidR="006C1C48">
              <w:t xml:space="preserve">informācija par saskaņošanā </w:t>
            </w:r>
            <w:r w:rsidRPr="00823410" w:rsidR="00022B0F">
              <w:t>panākto alternatīvo risinājumu</w:t>
            </w:r>
          </w:p>
        </w:tc>
        <w:tc>
          <w:tcPr>
            <w:tcW w:w="1701" w:type="dxa"/>
            <w:tcBorders>
              <w:top w:val="single" w:color="auto" w:sz="4" w:space="0"/>
              <w:left w:val="single" w:color="auto" w:sz="4" w:space="0"/>
              <w:bottom w:val="single" w:color="auto" w:sz="4" w:space="0"/>
            </w:tcBorders>
            <w:shd w:val="clear" w:color="auto" w:fill="auto"/>
            <w:vAlign w:val="center"/>
          </w:tcPr>
          <w:p w:rsidRPr="00823410" w:rsidR="00134188" w:rsidP="00F435C8" w:rsidRDefault="00134188" w14:paraId="14DD3E3E" w14:textId="77777777">
            <w:pPr>
              <w:jc w:val="both"/>
            </w:pPr>
            <w:r w:rsidRPr="00823410">
              <w:t>Projekta attiecīgā punkta (panta) galīgā redakcija</w:t>
            </w:r>
          </w:p>
        </w:tc>
      </w:tr>
      <w:tr w:rsidRPr="00823410" w:rsidR="0061004F" w:rsidTr="00EF01D0" w14:paraId="007C5D86" w14:textId="77777777">
        <w:tc>
          <w:tcPr>
            <w:tcW w:w="1135" w:type="dxa"/>
            <w:gridSpan w:val="3"/>
            <w:tcBorders>
              <w:top w:val="single" w:color="000000" w:sz="6" w:space="0"/>
              <w:left w:val="single" w:color="000000" w:sz="6" w:space="0"/>
              <w:bottom w:val="single" w:color="000000" w:sz="6" w:space="0"/>
              <w:right w:val="single" w:color="000000" w:sz="6" w:space="0"/>
            </w:tcBorders>
            <w:shd w:val="clear" w:color="auto" w:fill="auto"/>
          </w:tcPr>
          <w:p w:rsidRPr="00823410" w:rsidR="00134188" w:rsidP="00F435C8" w:rsidRDefault="003B71E0" w14:paraId="33CEBC6B" w14:textId="77777777">
            <w:pPr>
              <w:pStyle w:val="naisc"/>
              <w:spacing w:before="0" w:after="0"/>
              <w:jc w:val="both"/>
            </w:pPr>
            <w:r w:rsidRPr="00823410">
              <w:t>1</w:t>
            </w:r>
          </w:p>
        </w:tc>
        <w:tc>
          <w:tcPr>
            <w:tcW w:w="3969" w:type="dxa"/>
            <w:gridSpan w:val="3"/>
            <w:tcBorders>
              <w:top w:val="single" w:color="000000" w:sz="6" w:space="0"/>
              <w:left w:val="single" w:color="000000" w:sz="6" w:space="0"/>
              <w:bottom w:val="single" w:color="000000" w:sz="6" w:space="0"/>
              <w:right w:val="single" w:color="000000" w:sz="6" w:space="0"/>
            </w:tcBorders>
            <w:shd w:val="clear" w:color="auto" w:fill="auto"/>
          </w:tcPr>
          <w:p w:rsidRPr="00823410" w:rsidR="00134188" w:rsidP="00F435C8" w:rsidRDefault="00F34AAB" w14:paraId="1D1F23FF" w14:textId="77777777">
            <w:pPr>
              <w:pStyle w:val="naisc"/>
              <w:spacing w:before="0" w:after="0"/>
              <w:jc w:val="both"/>
            </w:pPr>
            <w:r w:rsidRPr="00823410">
              <w:t>2</w:t>
            </w:r>
          </w:p>
        </w:tc>
        <w:tc>
          <w:tcPr>
            <w:tcW w:w="5528" w:type="dxa"/>
            <w:gridSpan w:val="3"/>
            <w:tcBorders>
              <w:top w:val="single" w:color="000000" w:sz="6" w:space="0"/>
              <w:left w:val="single" w:color="000000" w:sz="6" w:space="0"/>
              <w:bottom w:val="single" w:color="000000" w:sz="6" w:space="0"/>
              <w:right w:val="single" w:color="000000" w:sz="6" w:space="0"/>
            </w:tcBorders>
            <w:shd w:val="clear" w:color="auto" w:fill="auto"/>
          </w:tcPr>
          <w:p w:rsidRPr="00823410" w:rsidR="00134188" w:rsidP="00F435C8" w:rsidRDefault="003B71E0" w14:paraId="4EB4C048" w14:textId="77777777">
            <w:pPr>
              <w:pStyle w:val="naisc"/>
              <w:spacing w:before="0" w:after="0"/>
              <w:jc w:val="both"/>
            </w:pPr>
            <w:r w:rsidRPr="00823410">
              <w:t>3</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823410" w:rsidR="00134188" w:rsidP="00F435C8" w:rsidRDefault="003B71E0" w14:paraId="07417169" w14:textId="77777777">
            <w:pPr>
              <w:pStyle w:val="naisc"/>
              <w:spacing w:before="0" w:after="0"/>
              <w:ind w:firstLine="34"/>
              <w:jc w:val="both"/>
            </w:pPr>
            <w:r w:rsidRPr="00823410">
              <w:t>4</w:t>
            </w:r>
          </w:p>
        </w:tc>
        <w:tc>
          <w:tcPr>
            <w:tcW w:w="1701" w:type="dxa"/>
            <w:tcBorders>
              <w:top w:val="single" w:color="auto" w:sz="4" w:space="0"/>
              <w:left w:val="single" w:color="auto" w:sz="4" w:space="0"/>
              <w:bottom w:val="single" w:color="auto" w:sz="4" w:space="0"/>
            </w:tcBorders>
            <w:shd w:val="clear" w:color="auto" w:fill="auto"/>
          </w:tcPr>
          <w:p w:rsidRPr="00823410" w:rsidR="00134188" w:rsidP="00F435C8" w:rsidRDefault="003B71E0" w14:paraId="74A88828" w14:textId="77777777">
            <w:pPr>
              <w:jc w:val="both"/>
            </w:pPr>
            <w:r w:rsidRPr="00823410">
              <w:t>5</w:t>
            </w:r>
          </w:p>
        </w:tc>
      </w:tr>
      <w:tr w:rsidRPr="00823410" w:rsidR="00EF01D0" w:rsidTr="00341512" w14:paraId="3531ACE2" w14:textId="77777777">
        <w:trPr>
          <w:trHeight w:val="318"/>
        </w:trPr>
        <w:tc>
          <w:tcPr>
            <w:tcW w:w="14459" w:type="dxa"/>
            <w:gridSpan w:val="11"/>
            <w:tcBorders>
              <w:top w:val="single" w:color="000000" w:sz="6" w:space="0"/>
              <w:left w:val="single" w:color="000000" w:sz="6" w:space="0"/>
              <w:bottom w:val="single" w:color="000000" w:sz="6" w:space="0"/>
            </w:tcBorders>
            <w:shd w:val="clear" w:color="auto" w:fill="auto"/>
          </w:tcPr>
          <w:p w:rsidRPr="00341512" w:rsidR="00EF01D0" w:rsidP="00EF01D0" w:rsidRDefault="00710E30" w14:paraId="4DC224A8" w14:textId="2738FE3A">
            <w:pPr>
              <w:jc w:val="center"/>
              <w:rPr>
                <w:b/>
              </w:rPr>
            </w:pPr>
            <w:r w:rsidRPr="00341512">
              <w:rPr>
                <w:b/>
              </w:rPr>
              <w:t>Tieslietu</w:t>
            </w:r>
            <w:r w:rsidRPr="00341512" w:rsidR="00EF01D0">
              <w:rPr>
                <w:b/>
              </w:rPr>
              <w:t xml:space="preserve"> ministrija</w:t>
            </w:r>
          </w:p>
          <w:p w:rsidRPr="00341512" w:rsidR="00EF01D0" w:rsidP="00710E30" w:rsidRDefault="00EF01D0" w14:paraId="50890FD8" w14:textId="40AC8E54">
            <w:pPr>
              <w:jc w:val="center"/>
              <w:rPr>
                <w:b/>
              </w:rPr>
            </w:pPr>
            <w:r w:rsidRPr="00341512">
              <w:rPr>
                <w:i/>
              </w:rPr>
              <w:t>(20</w:t>
            </w:r>
            <w:r w:rsidRPr="00341512" w:rsidR="00710E30">
              <w:rPr>
                <w:i/>
              </w:rPr>
              <w:t>20</w:t>
            </w:r>
            <w:r w:rsidRPr="00341512">
              <w:rPr>
                <w:i/>
              </w:rPr>
              <w:t xml:space="preserve">. gada </w:t>
            </w:r>
            <w:r w:rsidRPr="00341512" w:rsidR="00710E30">
              <w:rPr>
                <w:i/>
              </w:rPr>
              <w:t>26</w:t>
            </w:r>
            <w:r w:rsidRPr="00341512">
              <w:rPr>
                <w:i/>
              </w:rPr>
              <w:t xml:space="preserve">. </w:t>
            </w:r>
            <w:r w:rsidRPr="00341512" w:rsidR="00710E30">
              <w:rPr>
                <w:i/>
              </w:rPr>
              <w:t>marta</w:t>
            </w:r>
            <w:r w:rsidRPr="00341512">
              <w:rPr>
                <w:i/>
              </w:rPr>
              <w:t xml:space="preserve"> atzinums  Nr.</w:t>
            </w:r>
            <w:r w:rsidRPr="00341512" w:rsidR="00710E30">
              <w:rPr>
                <w:i/>
              </w:rPr>
              <w:t>1</w:t>
            </w:r>
            <w:r w:rsidRPr="00341512">
              <w:rPr>
                <w:i/>
              </w:rPr>
              <w:t>-</w:t>
            </w:r>
            <w:r w:rsidRPr="00341512" w:rsidR="00710E30">
              <w:rPr>
                <w:i/>
              </w:rPr>
              <w:t>9.1/306</w:t>
            </w:r>
            <w:r w:rsidRPr="00341512">
              <w:rPr>
                <w:i/>
              </w:rPr>
              <w:t>)</w:t>
            </w:r>
          </w:p>
        </w:tc>
      </w:tr>
      <w:tr w:rsidRPr="00823410" w:rsidR="0061004F" w:rsidTr="005625D9" w14:paraId="584B311F" w14:textId="77777777">
        <w:trPr>
          <w:trHeight w:val="1921"/>
        </w:trPr>
        <w:tc>
          <w:tcPr>
            <w:tcW w:w="542" w:type="dxa"/>
            <w:gridSpan w:val="2"/>
            <w:tcBorders>
              <w:left w:val="single" w:color="000000" w:sz="6" w:space="0"/>
              <w:bottom w:val="single" w:color="auto" w:sz="4" w:space="0"/>
              <w:right w:val="single" w:color="000000" w:sz="6" w:space="0"/>
            </w:tcBorders>
            <w:shd w:val="clear" w:color="auto" w:fill="auto"/>
          </w:tcPr>
          <w:p w:rsidRPr="005008E4" w:rsidR="0065430D" w:rsidP="004E4817" w:rsidRDefault="004E4817" w14:paraId="358F9327" w14:textId="41C96E1A">
            <w:pPr>
              <w:ind w:left="8"/>
              <w:jc w:val="both"/>
              <w:rPr>
                <w:bCs/>
              </w:rPr>
            </w:pPr>
            <w:r w:rsidRPr="005008E4">
              <w:rPr>
                <w:bCs/>
              </w:rPr>
              <w:t>1.</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65430D" w:rsidP="004C752A" w:rsidRDefault="00B3170C" w14:paraId="600D0107" w14:textId="1C84396E">
            <w:pPr>
              <w:jc w:val="both"/>
            </w:pPr>
            <w:r w:rsidRPr="00B3170C">
              <w:rPr>
                <w:b/>
              </w:rPr>
              <w:t>Noteikumi par dzelzceļa drošību</w:t>
            </w:r>
          </w:p>
        </w:tc>
        <w:tc>
          <w:tcPr>
            <w:tcW w:w="4253" w:type="dxa"/>
            <w:gridSpan w:val="2"/>
            <w:tcBorders>
              <w:left w:val="single" w:color="000000" w:sz="6" w:space="0"/>
              <w:bottom w:val="single" w:color="auto" w:sz="4" w:space="0"/>
              <w:right w:val="single" w:color="000000" w:sz="6" w:space="0"/>
            </w:tcBorders>
            <w:shd w:val="clear" w:color="auto" w:fill="auto"/>
          </w:tcPr>
          <w:p w:rsidRPr="00823410" w:rsidR="00C258B3" w:rsidP="009656F5" w:rsidRDefault="009656F5" w14:paraId="6DED5CC8" w14:textId="2F80024A">
            <w:pPr>
              <w:ind w:firstLine="34"/>
              <w:jc w:val="both"/>
            </w:pPr>
            <w:r w:rsidRPr="009656F5">
              <w:t xml:space="preserve">Vēršam uzmanību, ka projekta nosaukums neatbilst Ministru kabineta 2009. gada 3. februāra noteikumu Nr. 108 „Normatīvo aktu projektu sagatavošanas noteikumi” (turpmāk – MKN 108) 91. un 92. punktam, kas noteic, ka noteikumu projekta nosaukumā vārdus “kārtība”, “noteikumi” v.tml. raksta kā nosaukuma pēdējo vārdu un ka nosaukumu ar vārdiem </w:t>
            </w:r>
            <w:r w:rsidRPr="009656F5">
              <w:lastRenderedPageBreak/>
              <w:t>“Noteikumi par” iesāk tikai retos izņēmuma gadījumos. Ņemot vērā, ka projekta gadījumā ir iespējams izveidot stilistiski pareizu projekta nosaukumu, lūdzam precizēt projekta nosaukumu, piemēram, izsakot to šādā redakcijā: „Dzelzceļa drošības noteikumi”</w:t>
            </w:r>
          </w:p>
        </w:tc>
        <w:tc>
          <w:tcPr>
            <w:tcW w:w="2126" w:type="dxa"/>
            <w:tcBorders>
              <w:left w:val="single" w:color="000000" w:sz="6" w:space="0"/>
              <w:bottom w:val="single" w:color="auto" w:sz="4" w:space="0"/>
              <w:right w:val="single" w:color="000000" w:sz="6" w:space="0"/>
            </w:tcBorders>
            <w:shd w:val="clear" w:color="auto" w:fill="auto"/>
          </w:tcPr>
          <w:p w:rsidR="005625D9" w:rsidP="005625D9" w:rsidRDefault="004C752A" w14:paraId="52CC2C1D" w14:textId="77777777">
            <w:pPr>
              <w:autoSpaceDE w:val="0"/>
              <w:autoSpaceDN w:val="0"/>
              <w:adjustRightInd w:val="0"/>
              <w:jc w:val="center"/>
              <w:rPr>
                <w:b/>
              </w:rPr>
            </w:pPr>
            <w:r>
              <w:rPr>
                <w:b/>
              </w:rPr>
              <w:lastRenderedPageBreak/>
              <w:t>Ņ</w:t>
            </w:r>
            <w:r w:rsidRPr="00823410" w:rsidR="0065430D">
              <w:rPr>
                <w:b/>
              </w:rPr>
              <w:t>emts vērā.</w:t>
            </w:r>
          </w:p>
          <w:p w:rsidRPr="00823410" w:rsidR="0065430D" w:rsidP="00F435C8" w:rsidRDefault="00CA0835" w14:paraId="05829335" w14:textId="7DC54141">
            <w:pPr>
              <w:autoSpaceDE w:val="0"/>
              <w:autoSpaceDN w:val="0"/>
              <w:adjustRightInd w:val="0"/>
              <w:jc w:val="both"/>
              <w:rPr>
                <w:b/>
              </w:rPr>
            </w:pPr>
            <w:r w:rsidRPr="004C752A">
              <w:t>Precizēts projekt</w:t>
            </w:r>
            <w:r w:rsidR="00341512">
              <w:t>a nosaukums.</w:t>
            </w:r>
          </w:p>
          <w:p w:rsidRPr="00823410" w:rsidR="00C258B3" w:rsidP="001B58E0" w:rsidRDefault="00C258B3" w14:paraId="460D4C6F" w14:textId="73B4DBD9">
            <w:pPr>
              <w:autoSpaceDE w:val="0"/>
              <w:autoSpaceDN w:val="0"/>
              <w:adjustRightInd w:val="0"/>
              <w:jc w:val="both"/>
              <w:rPr>
                <w:b/>
              </w:rPr>
            </w:pPr>
          </w:p>
        </w:tc>
        <w:tc>
          <w:tcPr>
            <w:tcW w:w="4278" w:type="dxa"/>
            <w:gridSpan w:val="3"/>
            <w:tcBorders>
              <w:top w:val="single" w:color="auto" w:sz="4" w:space="0"/>
              <w:left w:val="single" w:color="auto" w:sz="4" w:space="0"/>
              <w:bottom w:val="single" w:color="auto" w:sz="4" w:space="0"/>
            </w:tcBorders>
            <w:shd w:val="clear" w:color="auto" w:fill="auto"/>
          </w:tcPr>
          <w:p w:rsidRPr="00823410" w:rsidR="00C258B3" w:rsidP="004E4817" w:rsidRDefault="00B3170C" w14:paraId="073A07D5" w14:textId="5A7DFE02">
            <w:pPr>
              <w:rPr>
                <w:b/>
              </w:rPr>
            </w:pPr>
            <w:r w:rsidRPr="00B3170C">
              <w:rPr>
                <w:b/>
              </w:rPr>
              <w:t>Dzelzceļa drošības noteikumi</w:t>
            </w:r>
          </w:p>
        </w:tc>
      </w:tr>
      <w:tr w:rsidRPr="00823410" w:rsidR="0061004F" w:rsidTr="00982A1C" w14:paraId="314EE96B"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65430D" w:rsidP="004E4817" w:rsidRDefault="004E4817" w14:paraId="4FDFC93C" w14:textId="39826335">
            <w:pPr>
              <w:ind w:left="8"/>
              <w:jc w:val="both"/>
              <w:rPr>
                <w:bCs/>
              </w:rPr>
            </w:pPr>
            <w:r w:rsidRPr="005008E4">
              <w:rPr>
                <w:bCs/>
              </w:rPr>
              <w:t>2.</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65430D" w:rsidP="00B3170C" w:rsidRDefault="00B3170C" w14:paraId="5737F00B" w14:textId="57A8E322">
            <w:pPr>
              <w:jc w:val="both"/>
            </w:pPr>
            <w:r w:rsidRPr="00B3170C">
              <w:rPr>
                <w:iCs/>
              </w:rPr>
              <w:t>Izdoti saskaņā ar Dzelzceļa likuma 34.</w:t>
            </w:r>
            <w:r w:rsidRPr="00B3170C">
              <w:rPr>
                <w:iCs/>
                <w:vertAlign w:val="superscript"/>
              </w:rPr>
              <w:t>1</w:t>
            </w:r>
            <w:r w:rsidRPr="00B3170C">
              <w:rPr>
                <w:iCs/>
              </w:rPr>
              <w:t xml:space="preserve"> panta piekto daļu, 35.</w:t>
            </w:r>
            <w:r w:rsidRPr="00B3170C">
              <w:rPr>
                <w:iCs/>
                <w:vertAlign w:val="superscript"/>
              </w:rPr>
              <w:t>1</w:t>
            </w:r>
            <w:r w:rsidRPr="00B3170C">
              <w:rPr>
                <w:iCs/>
              </w:rPr>
              <w:t xml:space="preserve"> panta  otro daļu, 35.</w:t>
            </w:r>
            <w:r w:rsidRPr="00B3170C">
              <w:rPr>
                <w:iCs/>
                <w:vertAlign w:val="superscript"/>
              </w:rPr>
              <w:t>2</w:t>
            </w:r>
            <w:r w:rsidRPr="00B3170C">
              <w:rPr>
                <w:iCs/>
              </w:rPr>
              <w:t xml:space="preserve"> panta  ceturto, piekto un septīto daļu un 36.</w:t>
            </w:r>
            <w:r w:rsidRPr="00B3170C">
              <w:rPr>
                <w:iCs/>
                <w:vertAlign w:val="superscript"/>
              </w:rPr>
              <w:t>4</w:t>
            </w:r>
            <w:r w:rsidRPr="00B3170C">
              <w:rPr>
                <w:iCs/>
              </w:rPr>
              <w:t xml:space="preserve"> panta trešo un septīto daļu</w:t>
            </w:r>
          </w:p>
        </w:tc>
        <w:tc>
          <w:tcPr>
            <w:tcW w:w="4253" w:type="dxa"/>
            <w:gridSpan w:val="2"/>
            <w:tcBorders>
              <w:left w:val="single" w:color="000000" w:sz="6" w:space="0"/>
              <w:bottom w:val="single" w:color="auto" w:sz="4" w:space="0"/>
              <w:right w:val="single" w:color="000000" w:sz="6" w:space="0"/>
            </w:tcBorders>
            <w:shd w:val="clear" w:color="auto" w:fill="auto"/>
          </w:tcPr>
          <w:p w:rsidRPr="00823410" w:rsidR="00624DED" w:rsidP="009656F5" w:rsidRDefault="009656F5" w14:paraId="1800A965" w14:textId="1892A515">
            <w:pPr>
              <w:jc w:val="both"/>
            </w:pPr>
            <w:r w:rsidRPr="009656F5">
              <w:t>Kā projekta izdošanas tiesiskais pamats cita starpā norādīts Dzelzceļa likuma (turpmāk – Likums) 36.</w:t>
            </w:r>
            <w:r w:rsidRPr="009656F5">
              <w:rPr>
                <w:vertAlign w:val="superscript"/>
              </w:rPr>
              <w:t xml:space="preserve">4 </w:t>
            </w:r>
            <w:r w:rsidRPr="009656F5">
              <w:t>panta trešā un septītā daļa. Aplūkojot Likuma redakciju, kas būs spēkā projekta spēkā stāšanās brīdī, minētajās Likuma normās nav atrodams pilnvarojums Ministru kabinetam. Ievērojot minēto, lūdzam attiecīgi precizēt projektā norādi, uz tā izdošanas tiesisko pamatu. Atbilstoši minētajam, lūdzam precizēt arī projekta anotācijas I sadaļas 1. punktā ietverto informāciju.</w:t>
            </w:r>
          </w:p>
        </w:tc>
        <w:tc>
          <w:tcPr>
            <w:tcW w:w="2126" w:type="dxa"/>
            <w:tcBorders>
              <w:left w:val="single" w:color="000000" w:sz="6" w:space="0"/>
              <w:bottom w:val="single" w:color="auto" w:sz="4" w:space="0"/>
              <w:right w:val="single" w:color="000000" w:sz="6" w:space="0"/>
            </w:tcBorders>
            <w:shd w:val="clear" w:color="auto" w:fill="auto"/>
          </w:tcPr>
          <w:p w:rsidR="00C258B3" w:rsidP="005625D9" w:rsidRDefault="005E7795" w14:paraId="70465A64" w14:textId="77777777">
            <w:pPr>
              <w:jc w:val="center"/>
              <w:rPr>
                <w:b/>
              </w:rPr>
            </w:pPr>
            <w:r w:rsidRPr="005E7795">
              <w:rPr>
                <w:b/>
              </w:rPr>
              <w:t>Ņemts vērā.</w:t>
            </w:r>
          </w:p>
          <w:p w:rsidRPr="00823410" w:rsidR="00B3170C" w:rsidP="009656F5" w:rsidRDefault="00B3170C" w14:paraId="6C6F4189" w14:textId="1935D281">
            <w:pPr>
              <w:jc w:val="both"/>
              <w:rPr>
                <w:b/>
              </w:rPr>
            </w:pPr>
            <w:r w:rsidRPr="004C752A">
              <w:t>Precizēts projekt</w:t>
            </w:r>
            <w:r w:rsidR="00341512">
              <w:t>a izdošanas pamats.</w:t>
            </w:r>
          </w:p>
        </w:tc>
        <w:tc>
          <w:tcPr>
            <w:tcW w:w="4278" w:type="dxa"/>
            <w:gridSpan w:val="3"/>
            <w:tcBorders>
              <w:top w:val="single" w:color="auto" w:sz="4" w:space="0"/>
              <w:left w:val="single" w:color="auto" w:sz="4" w:space="0"/>
              <w:bottom w:val="single" w:color="auto" w:sz="4" w:space="0"/>
            </w:tcBorders>
            <w:shd w:val="clear" w:color="auto" w:fill="auto"/>
          </w:tcPr>
          <w:p w:rsidRPr="00341512" w:rsidR="00C258B3" w:rsidP="00B3170C" w:rsidRDefault="00B3170C" w14:paraId="0332074E" w14:textId="4E050DC9">
            <w:pPr>
              <w:ind w:right="57"/>
              <w:jc w:val="both"/>
              <w:rPr>
                <w:iCs/>
              </w:rPr>
            </w:pPr>
            <w:r w:rsidRPr="00B3170C">
              <w:rPr>
                <w:iCs/>
              </w:rPr>
              <w:t>Izdoti saskaņā ar Dzelzceļa likuma 34.</w:t>
            </w:r>
            <w:r w:rsidRPr="00B3170C">
              <w:rPr>
                <w:iCs/>
                <w:vertAlign w:val="superscript"/>
              </w:rPr>
              <w:t>1</w:t>
            </w:r>
            <w:r w:rsidRPr="00B3170C">
              <w:rPr>
                <w:iCs/>
              </w:rPr>
              <w:t xml:space="preserve"> panta piekto daļu, 35.</w:t>
            </w:r>
            <w:r w:rsidRPr="00B3170C">
              <w:rPr>
                <w:iCs/>
                <w:vertAlign w:val="superscript"/>
              </w:rPr>
              <w:t>1</w:t>
            </w:r>
            <w:r w:rsidRPr="00B3170C">
              <w:rPr>
                <w:iCs/>
              </w:rPr>
              <w:t xml:space="preserve"> panta  otro daļu, 35.</w:t>
            </w:r>
            <w:r w:rsidRPr="00B3170C">
              <w:rPr>
                <w:iCs/>
                <w:vertAlign w:val="superscript"/>
              </w:rPr>
              <w:t>2</w:t>
            </w:r>
            <w:r w:rsidRPr="00B3170C">
              <w:rPr>
                <w:iCs/>
              </w:rPr>
              <w:t xml:space="preserve"> panta  ceturto, piekto un septīto daļu </w:t>
            </w:r>
            <w:r w:rsidRPr="00902EBF">
              <w:rPr>
                <w:iCs/>
              </w:rPr>
              <w:t>un 36.</w:t>
            </w:r>
            <w:r w:rsidRPr="00902EBF">
              <w:rPr>
                <w:iCs/>
                <w:vertAlign w:val="superscript"/>
              </w:rPr>
              <w:t>5</w:t>
            </w:r>
            <w:r w:rsidRPr="00902EBF">
              <w:rPr>
                <w:iCs/>
              </w:rPr>
              <w:t xml:space="preserve"> panta</w:t>
            </w:r>
            <w:r w:rsidRPr="00B3170C">
              <w:rPr>
                <w:b/>
                <w:iCs/>
              </w:rPr>
              <w:t xml:space="preserve"> </w:t>
            </w:r>
            <w:r w:rsidRPr="00B3170C">
              <w:rPr>
                <w:iCs/>
              </w:rPr>
              <w:t>trešo un septīto daļu</w:t>
            </w:r>
          </w:p>
        </w:tc>
      </w:tr>
      <w:tr w:rsidRPr="00823410" w:rsidR="0061004F" w:rsidTr="00982A1C" w14:paraId="6045997D"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DA303E" w:rsidP="004E4817" w:rsidRDefault="004E4817" w14:paraId="040BC9F7" w14:textId="5A24ADA3">
            <w:pPr>
              <w:ind w:left="8"/>
              <w:jc w:val="both"/>
              <w:rPr>
                <w:bCs/>
              </w:rPr>
            </w:pPr>
            <w:r w:rsidRPr="005008E4">
              <w:rPr>
                <w:bCs/>
              </w:rPr>
              <w:t>3.</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DA303E" w:rsidP="007E5A7A" w:rsidRDefault="00B3170C" w14:paraId="534FADE5" w14:textId="3D066D48">
            <w:pPr>
              <w:jc w:val="both"/>
            </w:pPr>
            <w:r w:rsidRPr="00B3170C">
              <w:rPr>
                <w:iCs/>
              </w:rPr>
              <w:t>Izdoti saskaņā ar Dzelzceļa likuma 34.</w:t>
            </w:r>
            <w:r w:rsidRPr="00B3170C">
              <w:rPr>
                <w:iCs/>
                <w:vertAlign w:val="superscript"/>
              </w:rPr>
              <w:t>1</w:t>
            </w:r>
            <w:r w:rsidRPr="00B3170C">
              <w:rPr>
                <w:iCs/>
              </w:rPr>
              <w:t xml:space="preserve"> panta piekto daļu, 35.</w:t>
            </w:r>
            <w:r w:rsidRPr="00B3170C">
              <w:rPr>
                <w:iCs/>
                <w:vertAlign w:val="superscript"/>
              </w:rPr>
              <w:t>1</w:t>
            </w:r>
            <w:r w:rsidRPr="00B3170C">
              <w:rPr>
                <w:iCs/>
              </w:rPr>
              <w:t xml:space="preserve"> panta  otro daļu, 35.</w:t>
            </w:r>
            <w:r w:rsidRPr="00B3170C">
              <w:rPr>
                <w:iCs/>
                <w:vertAlign w:val="superscript"/>
              </w:rPr>
              <w:t>2</w:t>
            </w:r>
            <w:r w:rsidRPr="00B3170C">
              <w:rPr>
                <w:iCs/>
              </w:rPr>
              <w:t xml:space="preserve"> panta  ceturto, piekto un septīto daļu un 36.</w:t>
            </w:r>
            <w:r w:rsidRPr="00B3170C">
              <w:rPr>
                <w:iCs/>
                <w:vertAlign w:val="superscript"/>
              </w:rPr>
              <w:t>4</w:t>
            </w:r>
            <w:r w:rsidRPr="00B3170C">
              <w:rPr>
                <w:iCs/>
              </w:rPr>
              <w:t xml:space="preserve"> panta trešo un septīto daļu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D012D0" w:rsidP="009656F5" w:rsidRDefault="009656F5" w14:paraId="32CF07A1" w14:textId="7C68AD41">
            <w:pPr>
              <w:jc w:val="both"/>
            </w:pPr>
            <w:r w:rsidRPr="009656F5">
              <w:t>Norādām, ka projekta tvērums, kas pašlaik ietverts projekta 1.1. un 1.2. apakšpunktā neizriet no projekta izdošanas tiesiskā pamata. Ievērojot minēto, lūdzam precizēt projekta izdošanas tiesisko pamatu vai svītrot projekta 1.1. un 1.2. apakšpunktu un ar to saistīto regulējumu.</w:t>
            </w:r>
          </w:p>
        </w:tc>
        <w:tc>
          <w:tcPr>
            <w:tcW w:w="2126" w:type="dxa"/>
            <w:tcBorders>
              <w:left w:val="single" w:color="000000" w:sz="6" w:space="0"/>
              <w:bottom w:val="single" w:color="auto" w:sz="4" w:space="0"/>
              <w:right w:val="single" w:color="000000" w:sz="6" w:space="0"/>
            </w:tcBorders>
            <w:shd w:val="clear" w:color="auto" w:fill="auto"/>
          </w:tcPr>
          <w:p w:rsidR="00E8370C" w:rsidP="005625D9" w:rsidRDefault="005E7795" w14:paraId="35CC8DEA" w14:textId="77777777">
            <w:pPr>
              <w:autoSpaceDE w:val="0"/>
              <w:autoSpaceDN w:val="0"/>
              <w:adjustRightInd w:val="0"/>
              <w:jc w:val="center"/>
              <w:rPr>
                <w:b/>
              </w:rPr>
            </w:pPr>
            <w:r w:rsidRPr="005E7795">
              <w:rPr>
                <w:b/>
              </w:rPr>
              <w:t>Ņemts vērā.</w:t>
            </w:r>
          </w:p>
          <w:p w:rsidRPr="00B3170C" w:rsidR="00B3170C" w:rsidP="009656F5" w:rsidRDefault="00B3170C" w14:paraId="4B64725F" w14:textId="11D90798">
            <w:pPr>
              <w:autoSpaceDE w:val="0"/>
              <w:autoSpaceDN w:val="0"/>
              <w:adjustRightInd w:val="0"/>
              <w:jc w:val="both"/>
            </w:pPr>
            <w:r w:rsidRPr="00B3170C">
              <w:t>Precizēts projekt</w:t>
            </w:r>
            <w:r w:rsidR="00341512">
              <w:t>a izdošanas pamats.</w:t>
            </w:r>
          </w:p>
        </w:tc>
        <w:tc>
          <w:tcPr>
            <w:tcW w:w="4278" w:type="dxa"/>
            <w:gridSpan w:val="3"/>
            <w:tcBorders>
              <w:top w:val="single" w:color="auto" w:sz="4" w:space="0"/>
              <w:left w:val="single" w:color="auto" w:sz="4" w:space="0"/>
              <w:bottom w:val="single" w:color="auto" w:sz="4" w:space="0"/>
            </w:tcBorders>
            <w:shd w:val="clear" w:color="auto" w:fill="auto"/>
          </w:tcPr>
          <w:p w:rsidRPr="00341512" w:rsidR="00861B7E" w:rsidP="00341512" w:rsidRDefault="00B3170C" w14:paraId="678479E8" w14:textId="32EEC15F">
            <w:pPr>
              <w:ind w:right="57"/>
              <w:jc w:val="both"/>
              <w:rPr>
                <w:iCs/>
              </w:rPr>
            </w:pPr>
            <w:r w:rsidRPr="00B3170C">
              <w:rPr>
                <w:iCs/>
              </w:rPr>
              <w:t>Izdoti saskaņā ar Dzelzceļa likuma 34.</w:t>
            </w:r>
            <w:r w:rsidRPr="00B3170C">
              <w:rPr>
                <w:iCs/>
                <w:vertAlign w:val="superscript"/>
              </w:rPr>
              <w:t>1</w:t>
            </w:r>
            <w:r w:rsidRPr="00B3170C">
              <w:rPr>
                <w:iCs/>
              </w:rPr>
              <w:t xml:space="preserve"> panta piekto daļu, 35.</w:t>
            </w:r>
            <w:r w:rsidRPr="00B3170C">
              <w:rPr>
                <w:iCs/>
                <w:vertAlign w:val="superscript"/>
              </w:rPr>
              <w:t>1</w:t>
            </w:r>
            <w:r w:rsidRPr="00B3170C">
              <w:rPr>
                <w:iCs/>
              </w:rPr>
              <w:t xml:space="preserve"> panta  otro daļu, 35.</w:t>
            </w:r>
            <w:r w:rsidRPr="00B3170C">
              <w:rPr>
                <w:iCs/>
                <w:vertAlign w:val="superscript"/>
              </w:rPr>
              <w:t>2</w:t>
            </w:r>
            <w:r w:rsidRPr="00B3170C">
              <w:rPr>
                <w:iCs/>
              </w:rPr>
              <w:t xml:space="preserve"> panta  ceturto, piekto un septīto daļu </w:t>
            </w:r>
            <w:r w:rsidRPr="00902EBF">
              <w:rPr>
                <w:iCs/>
              </w:rPr>
              <w:t>un 36.</w:t>
            </w:r>
            <w:r w:rsidRPr="00902EBF">
              <w:rPr>
                <w:iCs/>
                <w:vertAlign w:val="superscript"/>
              </w:rPr>
              <w:t>5</w:t>
            </w:r>
            <w:r w:rsidRPr="00902EBF">
              <w:rPr>
                <w:iCs/>
              </w:rPr>
              <w:t xml:space="preserve"> panta</w:t>
            </w:r>
            <w:r w:rsidRPr="00B3170C">
              <w:rPr>
                <w:b/>
                <w:iCs/>
              </w:rPr>
              <w:t xml:space="preserve"> </w:t>
            </w:r>
            <w:r w:rsidRPr="00B3170C">
              <w:rPr>
                <w:iCs/>
              </w:rPr>
              <w:t>trešo un septīto daļu</w:t>
            </w:r>
          </w:p>
        </w:tc>
      </w:tr>
      <w:tr w:rsidRPr="00823410" w:rsidR="00E409AB" w:rsidTr="00982A1C" w14:paraId="4686539B"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E409AB" w:rsidP="00764CB3" w:rsidRDefault="00764CB3" w14:paraId="532CA21F" w14:textId="3FCB10E7">
            <w:pPr>
              <w:ind w:left="360" w:hanging="360"/>
              <w:jc w:val="both"/>
              <w:rPr>
                <w:bCs/>
              </w:rPr>
            </w:pPr>
            <w:r w:rsidRPr="005008E4">
              <w:rPr>
                <w:bCs/>
              </w:rPr>
              <w:t>4.</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E409AB" w:rsidP="00B06CC0" w:rsidRDefault="00B3170C" w14:paraId="725468AF" w14:textId="57750C46">
            <w:pPr>
              <w:jc w:val="both"/>
            </w:pPr>
            <w:r w:rsidRPr="00B3170C">
              <w:t xml:space="preserve">1.7. kārtību, kādā Valsts dzelzceļa tehniskā inspekcija </w:t>
            </w:r>
            <w:r w:rsidRPr="00B3170C">
              <w:lastRenderedPageBreak/>
              <w:t>(turpmāk – Inspekcija) izdod, atjauno, groza vai atsauc par tehnisko apkopi (tostarp par 1520 mm sliežu ceļa platuma ritekļu tehnisko apkopi) atbildīgās struktūrvienības sertifikātu, tā izdošanas, atjaunošanas, grozīšanas un atsaukšanas prasības un novērtēšanas kritērijus.</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3022AB" w:rsidP="009656F5" w:rsidRDefault="009656F5" w14:paraId="2B40F138" w14:textId="136549F6">
            <w:pPr>
              <w:jc w:val="both"/>
            </w:pPr>
            <w:r w:rsidRPr="009656F5">
              <w:lastRenderedPageBreak/>
              <w:t xml:space="preserve">Norādām, ka MKN 108 100. punkts noteic, ka Ministru kabineta noteikumu </w:t>
            </w:r>
            <w:r w:rsidRPr="009656F5">
              <w:lastRenderedPageBreak/>
              <w:t>projekta pirmajā punktā secīgi raksta vārdus “noteikumi nosaka” un likumā noteikto pilnvarojumu Ministru kabinetam. Ievērojot minēto, lūdzam precizēt projekta 1.7.apakšpunktu atbilstoši Likuma 35.</w:t>
            </w:r>
            <w:r w:rsidRPr="009656F5">
              <w:rPr>
                <w:vertAlign w:val="superscript"/>
              </w:rPr>
              <w:t>2</w:t>
            </w:r>
            <w:r w:rsidRPr="009656F5">
              <w:t xml:space="preserve"> panta piektajā un septītajā daļā ietvertajam pilnvarojumam Ministru kabinetam.</w:t>
            </w:r>
          </w:p>
        </w:tc>
        <w:tc>
          <w:tcPr>
            <w:tcW w:w="2126" w:type="dxa"/>
            <w:tcBorders>
              <w:left w:val="single" w:color="000000" w:sz="6" w:space="0"/>
              <w:bottom w:val="single" w:color="auto" w:sz="4" w:space="0"/>
              <w:right w:val="single" w:color="000000" w:sz="6" w:space="0"/>
            </w:tcBorders>
            <w:shd w:val="clear" w:color="auto" w:fill="auto"/>
          </w:tcPr>
          <w:p w:rsidR="00764CB3" w:rsidP="005625D9" w:rsidRDefault="005E7795" w14:paraId="04A292BF" w14:textId="77777777">
            <w:pPr>
              <w:autoSpaceDE w:val="0"/>
              <w:autoSpaceDN w:val="0"/>
              <w:adjustRightInd w:val="0"/>
              <w:jc w:val="center"/>
              <w:rPr>
                <w:b/>
              </w:rPr>
            </w:pPr>
            <w:r w:rsidRPr="005E7795">
              <w:rPr>
                <w:b/>
              </w:rPr>
              <w:lastRenderedPageBreak/>
              <w:t>Ņemts vērā.</w:t>
            </w:r>
          </w:p>
          <w:p w:rsidRPr="00764CB3" w:rsidR="00527E60" w:rsidP="009656F5" w:rsidRDefault="00527E60" w14:paraId="7572BDB1" w14:textId="303A83EA">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902EBF" w:rsidR="00B3170C" w:rsidP="00B3170C" w:rsidRDefault="00B3170C" w14:paraId="45D2A070" w14:textId="77777777">
            <w:pPr>
              <w:ind w:left="57" w:right="57"/>
              <w:jc w:val="both"/>
            </w:pPr>
            <w:r w:rsidRPr="00902EBF">
              <w:t xml:space="preserve">1.7. kārtību, kādā Valsts dzelzceļa tehniskā inspekcija (turpmāk – </w:t>
            </w:r>
            <w:r w:rsidRPr="00902EBF">
              <w:lastRenderedPageBreak/>
              <w:t>Inspekcija) izdod, atjauno, groza vai atsauc par tehnisko apkopi atbildīgās struktūrvienības sertifikātu, tā izdošanas, atjaunošanas, grozīšanas un atsaukšanas prasības, kā arī novērtēšanas kritērijus;</w:t>
            </w:r>
          </w:p>
          <w:p w:rsidRPr="00902EBF" w:rsidR="00E959F7" w:rsidP="00B3170C" w:rsidRDefault="00B3170C" w14:paraId="4DE43306" w14:textId="3C61D2F0">
            <w:pPr>
              <w:ind w:left="57" w:right="57"/>
              <w:jc w:val="both"/>
            </w:pPr>
            <w:r w:rsidRPr="00902EBF">
              <w:t>1.8. kārtību, kādā Inspekcija izdod, atjauno, groza vai atsauc par 1520 milimetru sliežu ceļa platuma ritekļu tehnisko apkopi atbildīgās struktūrvienības sertifikātu, kā arī tā izdošanas, atjaunošanas, grozīšanas un atsaukšanas prasības un novērtēšanas kritērijus.</w:t>
            </w:r>
          </w:p>
        </w:tc>
      </w:tr>
      <w:tr w:rsidRPr="00823410" w:rsidR="00CF7F80" w:rsidTr="00982A1C" w14:paraId="2C20F62A"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F7F80" w:rsidP="00CF7F80" w:rsidRDefault="00CF7F80" w14:paraId="2BB81794" w14:textId="721DC2B9">
            <w:pPr>
              <w:ind w:left="360" w:hanging="352"/>
              <w:jc w:val="both"/>
              <w:rPr>
                <w:bCs/>
              </w:rPr>
            </w:pPr>
            <w:r w:rsidRPr="005008E4">
              <w:rPr>
                <w:bCs/>
              </w:rPr>
              <w:lastRenderedPageBreak/>
              <w:t>5.</w:t>
            </w:r>
          </w:p>
        </w:tc>
        <w:tc>
          <w:tcPr>
            <w:tcW w:w="3260" w:type="dxa"/>
            <w:gridSpan w:val="3"/>
            <w:tcBorders>
              <w:left w:val="single" w:color="000000" w:sz="6" w:space="0"/>
              <w:bottom w:val="single" w:color="auto" w:sz="4" w:space="0"/>
              <w:right w:val="single" w:color="000000" w:sz="6" w:space="0"/>
            </w:tcBorders>
            <w:shd w:val="clear" w:color="auto" w:fill="auto"/>
          </w:tcPr>
          <w:p w:rsidRPr="00EF2F44" w:rsidR="00EF2F44" w:rsidP="00EF2F44" w:rsidRDefault="00EF2F44" w14:paraId="168AB737" w14:textId="77777777">
            <w:pPr>
              <w:jc w:val="both"/>
            </w:pPr>
            <w:r w:rsidRPr="00EF2F44">
              <w:t>2.1. drošības politiku, ko apstiprinājis komersanta augstākā līmeņa vadītājs un kas paziņota visam personālam;</w:t>
            </w:r>
          </w:p>
          <w:p w:rsidRPr="00823410" w:rsidR="00CF7F80" w:rsidP="007E5A7A" w:rsidRDefault="00CF7F80" w14:paraId="506D4AA0" w14:textId="2D8C0F46">
            <w:pPr>
              <w:jc w:val="both"/>
            </w:pPr>
          </w:p>
        </w:tc>
        <w:tc>
          <w:tcPr>
            <w:tcW w:w="4253" w:type="dxa"/>
            <w:gridSpan w:val="2"/>
            <w:tcBorders>
              <w:left w:val="single" w:color="000000" w:sz="6" w:space="0"/>
              <w:bottom w:val="single" w:color="auto" w:sz="4" w:space="0"/>
              <w:right w:val="single" w:color="000000" w:sz="6" w:space="0"/>
            </w:tcBorders>
            <w:shd w:val="clear" w:color="auto" w:fill="auto"/>
          </w:tcPr>
          <w:p w:rsidRPr="009656F5" w:rsidR="00CF7F80" w:rsidP="009656F5" w:rsidRDefault="009656F5" w14:paraId="0BD4CF5E" w14:textId="45C90967">
            <w:pPr>
              <w:autoSpaceDE w:val="0"/>
              <w:autoSpaceDN w:val="0"/>
              <w:adjustRightInd w:val="0"/>
              <w:jc w:val="both"/>
            </w:pPr>
            <w:r w:rsidRPr="009656F5">
              <w:t>Norādām, ka nav saprotams, kas ir projekta 2.1. apakšpunktā ietvertā “drošības politika”. Atbilstoši juridiskās tehnikas prasībām tiesību normai ir jābūt skaidrai, lai tās lietotājs un piemērotājs gūtu nepārprotamu priekšstatu par saviem pienākumiem un tiesībām. Attiecīgi lūdzam precizēt projektu, kā minimums papildinot projektu ar galvenajiem drošības politikas satura virzieniem un tēmām, kas obligāti ietveramas drošības politikā.</w:t>
            </w:r>
          </w:p>
        </w:tc>
        <w:tc>
          <w:tcPr>
            <w:tcW w:w="2126" w:type="dxa"/>
            <w:tcBorders>
              <w:left w:val="single" w:color="000000" w:sz="6" w:space="0"/>
              <w:bottom w:val="single" w:color="auto" w:sz="4" w:space="0"/>
              <w:right w:val="single" w:color="000000" w:sz="6" w:space="0"/>
            </w:tcBorders>
            <w:shd w:val="clear" w:color="auto" w:fill="auto"/>
          </w:tcPr>
          <w:p w:rsidR="00CF7F80" w:rsidP="005625D9" w:rsidRDefault="005E7795" w14:paraId="0AF45F6C" w14:textId="77777777">
            <w:pPr>
              <w:autoSpaceDE w:val="0"/>
              <w:autoSpaceDN w:val="0"/>
              <w:adjustRightInd w:val="0"/>
              <w:jc w:val="center"/>
              <w:rPr>
                <w:b/>
              </w:rPr>
            </w:pPr>
            <w:r w:rsidRPr="005E7795">
              <w:rPr>
                <w:b/>
              </w:rPr>
              <w:t>Ņemts vērā.</w:t>
            </w:r>
          </w:p>
          <w:p w:rsidRPr="00823410" w:rsidR="00527E60" w:rsidP="009656F5" w:rsidRDefault="00527E60" w14:paraId="7E240A8F" w14:textId="2FD312D9">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902EBF" w:rsidR="00CF7F80" w:rsidP="009656F5" w:rsidRDefault="005E102F" w14:paraId="47B5FFBE" w14:textId="5BE8874E">
            <w:pPr>
              <w:ind w:left="57" w:right="57"/>
              <w:jc w:val="both"/>
            </w:pPr>
            <w:r w:rsidRPr="00902EBF">
              <w:t>2.1. komersanta augstākā līmeņa vadītāja apstiprinātu, saskaņā ar komersanta uzņēmējdarbības stratēģiju uzturētu un visam personālam paziņotu drošības politiku, kas ietver apņemšanos pildīt ar drošību saistīto normatīvo aktu prasības, komersanta izvirzītos drošības mērķus, kā arī apņemšanos</w:t>
            </w:r>
            <w:r w:rsidRPr="00902EBF">
              <w:rPr>
                <w:iCs/>
              </w:rPr>
              <w:t xml:space="preserve"> kontrolēt no paša komersanta darbības izrietošos un citu dzelzceļa sistēmas dalībnieku radītos drošības apdraudējumus un pastāvīgi uzlabot savu drošības pārvaldības sistēmu</w:t>
            </w:r>
            <w:r w:rsidRPr="00902EBF">
              <w:t>;</w:t>
            </w:r>
          </w:p>
        </w:tc>
      </w:tr>
      <w:tr w:rsidRPr="00823410" w:rsidR="00C77882" w:rsidTr="00982A1C" w14:paraId="702E0B33"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0DB4EC58" w14:textId="3648360D">
            <w:pPr>
              <w:ind w:left="360" w:hanging="352"/>
              <w:jc w:val="both"/>
              <w:rPr>
                <w:bCs/>
              </w:rPr>
            </w:pPr>
            <w:r w:rsidRPr="005008E4">
              <w:rPr>
                <w:bCs/>
              </w:rPr>
              <w:t>6.</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EF2F44" w14:paraId="70DB93FA" w14:textId="58CD0C1C">
            <w:pPr>
              <w:jc w:val="both"/>
            </w:pPr>
            <w:r w:rsidRPr="00EF2F44">
              <w:t xml:space="preserve">2.3. procedūras esošo, jauno un grozīto tehnisko un ekspluatācijas prasību ievērošanai, kā tas noteikts </w:t>
            </w:r>
            <w:r w:rsidRPr="00EF2F44">
              <w:lastRenderedPageBreak/>
              <w:t>savstarpējas izmantojamības tehniskajās specifikācijās, nacionālajās prasībās un citos piemērojamajos ar dzelzceļa nozari tieši nesaistītos normatīvajos vai administratīvajos aktos, kā arī dzelzceļa infrastruktūras reģistrā vai tīkla pārskatā norādītās stingri izteikta vietējā rakstura prasībās un ierobežojumos (turpmāk – vietējie nosacījumi);</w:t>
            </w:r>
          </w:p>
        </w:tc>
        <w:tc>
          <w:tcPr>
            <w:tcW w:w="4253" w:type="dxa"/>
            <w:gridSpan w:val="2"/>
            <w:tcBorders>
              <w:left w:val="single" w:color="000000" w:sz="6" w:space="0"/>
              <w:bottom w:val="single" w:color="auto" w:sz="4" w:space="0"/>
              <w:right w:val="single" w:color="000000" w:sz="6" w:space="0"/>
            </w:tcBorders>
            <w:shd w:val="clear" w:color="auto" w:fill="auto"/>
          </w:tcPr>
          <w:p w:rsidR="00C77882" w:rsidP="009656F5" w:rsidRDefault="009656F5" w14:paraId="3C6C7FD8" w14:textId="77777777">
            <w:pPr>
              <w:jc w:val="both"/>
            </w:pPr>
            <w:r w:rsidRPr="009656F5">
              <w:lastRenderedPageBreak/>
              <w:t xml:space="preserve">Projekta 2.3. apakšpunktā ir minēti administratīvie akti, bet nav skaidrs, kas tie ir. Vienlaikus vēršam uzmanību uz to, ka atbilstoši Administratīvā procesa </w:t>
            </w:r>
            <w:r w:rsidRPr="009656F5">
              <w:lastRenderedPageBreak/>
              <w:t>likuma (turpmāk - APL) 1. panta trešajā daļā noteiktajam administratīvais akts ir uz āru vērsts tiesību akts, ko iestāde izdod publisko tiesību jomā attiecībā uz individuāli noteiktu personu vai personām, nodibinot, grozot, konstatējot vai izbeidzot konkrētas tiesiskās attiecības vai konstatējot faktisko situāciju. Ievērojot minēto, lūdzam izvērtēt projekta 2.3. apakšpunktā paredzēto regulējumu un attiecīgi precizēt to, kā arī papildināt  anotāciju ar atbilstošu skaidrojumu.</w:t>
            </w:r>
          </w:p>
          <w:p w:rsidRPr="009656F5" w:rsidR="009656F5" w:rsidP="009656F5" w:rsidRDefault="009656F5" w14:paraId="79EEB675" w14:textId="77777777">
            <w:pPr>
              <w:jc w:val="both"/>
            </w:pPr>
            <w:r w:rsidRPr="009656F5">
              <w:t>Vienlaikus norādām, ka visā projektā, tai skaitā projekta 2.3. apakšpunktā, norādītas atsauces uz prasībām, kas identificētas kā “Eiropas Savienības”, “nacionālās”, “vietējā rakstura”, “dzelzceļa drošības”, “ekspluatācijas” un citāda veida prasības.</w:t>
            </w:r>
          </w:p>
          <w:p w:rsidR="009656F5" w:rsidP="009656F5" w:rsidRDefault="009656F5" w14:paraId="72E5F650" w14:textId="77777777">
            <w:pPr>
              <w:jc w:val="both"/>
            </w:pPr>
            <w:r w:rsidRPr="009656F5">
              <w:t>Pirmkārt, attiecībā uz atsauci uz Eiropas Savienības prasībām norādām, ka saskaņā ar MKN 108 170. - 172. punktu pieļaujamas tikai atsauces uz Eiropas Savienības regulām. Otrkārt, norādām, ka visas pārējās projektā norādītās “prasības” izsakāmas saskaņā ar MKN 108 3.7. apakšnodaļu. Ievērojot minēto, lūdzam precizēt projektu.</w:t>
            </w:r>
          </w:p>
          <w:p w:rsidR="00E85934" w:rsidP="009656F5" w:rsidRDefault="00E85934" w14:paraId="7B274B9A" w14:textId="77777777">
            <w:pPr>
              <w:jc w:val="both"/>
            </w:pPr>
          </w:p>
          <w:p w:rsidRPr="00FB0AF1" w:rsidR="00E85934" w:rsidP="00E85934" w:rsidRDefault="00E85934" w14:paraId="1017DAB5" w14:textId="77777777">
            <w:pPr>
              <w:jc w:val="both"/>
              <w:rPr>
                <w:i/>
              </w:rPr>
            </w:pPr>
            <w:r w:rsidRPr="00FB0AF1">
              <w:rPr>
                <w:i/>
              </w:rPr>
              <w:t>Tieslietu ministrijas viedoklis saskaņošanā 2020.gada 16.aprīlī:</w:t>
            </w:r>
          </w:p>
          <w:p w:rsidRPr="00DB45F0" w:rsidR="00E85934" w:rsidP="00E85934" w:rsidRDefault="00E85934" w14:paraId="32C8DDE0" w14:textId="18F8439A">
            <w:pPr>
              <w:jc w:val="both"/>
              <w:rPr>
                <w:i/>
              </w:rPr>
            </w:pPr>
            <w:r w:rsidRPr="00FB0AF1">
              <w:rPr>
                <w:lang w:eastAsia="en-US"/>
              </w:rPr>
              <w:lastRenderedPageBreak/>
              <w:t>Papildus jau norādītājam uzsveram</w:t>
            </w:r>
            <w:r w:rsidRPr="00DB45F0">
              <w:rPr>
                <w:lang w:eastAsia="en-US"/>
              </w:rPr>
              <w:t>, ka nav iespējams viennozīmīgi nošķirt “nacionālās prasības” un “ vietējos nosacījumus”. Ievērojot minēto, lūdzam precizēt projektu.</w:t>
            </w:r>
          </w:p>
        </w:tc>
        <w:tc>
          <w:tcPr>
            <w:tcW w:w="2126" w:type="dxa"/>
            <w:tcBorders>
              <w:left w:val="single" w:color="000000" w:sz="6" w:space="0"/>
              <w:bottom w:val="single" w:color="auto" w:sz="4" w:space="0"/>
              <w:right w:val="single" w:color="000000" w:sz="6" w:space="0"/>
            </w:tcBorders>
            <w:shd w:val="clear" w:color="auto" w:fill="auto"/>
          </w:tcPr>
          <w:p w:rsidR="00F74C10" w:rsidP="00F97A45" w:rsidRDefault="005E7795" w14:paraId="13619227" w14:textId="77777777">
            <w:pPr>
              <w:autoSpaceDE w:val="0"/>
              <w:autoSpaceDN w:val="0"/>
              <w:adjustRightInd w:val="0"/>
              <w:jc w:val="center"/>
              <w:rPr>
                <w:b/>
              </w:rPr>
            </w:pPr>
            <w:r w:rsidRPr="005E7795">
              <w:rPr>
                <w:b/>
              </w:rPr>
              <w:lastRenderedPageBreak/>
              <w:t>Ņemts vērā.</w:t>
            </w:r>
          </w:p>
          <w:p w:rsidRPr="004E7D30" w:rsidR="000148EA" w:rsidP="009656F5" w:rsidRDefault="00527E60" w14:paraId="19C2A7BD" w14:textId="41C674D5">
            <w:pPr>
              <w:autoSpaceDE w:val="0"/>
              <w:autoSpaceDN w:val="0"/>
              <w:adjustRightInd w:val="0"/>
              <w:jc w:val="both"/>
            </w:pPr>
            <w:r w:rsidRPr="00527E60">
              <w:t xml:space="preserve">Papildināta </w:t>
            </w:r>
            <w:r w:rsidR="00A64761">
              <w:t xml:space="preserve">projekta </w:t>
            </w:r>
            <w:r w:rsidRPr="00527E60">
              <w:t>anotācija</w:t>
            </w:r>
            <w:r w:rsidR="005625D9">
              <w:t xml:space="preserve">,  </w:t>
            </w:r>
            <w:r w:rsidRPr="004E7D30" w:rsidR="0030064F">
              <w:t>aizstāt</w:t>
            </w:r>
            <w:r w:rsidR="0030064F">
              <w:t xml:space="preserve">ājot </w:t>
            </w:r>
            <w:r w:rsidR="00F97A45">
              <w:t>termin</w:t>
            </w:r>
            <w:r w:rsidR="0030064F">
              <w:t>u</w:t>
            </w:r>
            <w:r w:rsidR="00F97A45">
              <w:t xml:space="preserve"> </w:t>
            </w:r>
            <w:r w:rsidR="00F97A45">
              <w:lastRenderedPageBreak/>
              <w:t>“</w:t>
            </w:r>
            <w:r w:rsidR="005625D9">
              <w:t>d</w:t>
            </w:r>
            <w:r w:rsidRPr="004E7D30" w:rsidR="000148EA">
              <w:t>zelzceļa drošības pr</w:t>
            </w:r>
            <w:r w:rsidRPr="004E7D30" w:rsidR="008423BA">
              <w:t>asības</w:t>
            </w:r>
            <w:r w:rsidR="00F97A45">
              <w:t>”</w:t>
            </w:r>
            <w:r w:rsidRPr="004E7D30" w:rsidR="008423BA">
              <w:t xml:space="preserve"> ar</w:t>
            </w:r>
            <w:r w:rsidR="00F97A45">
              <w:t xml:space="preserve"> terminu</w:t>
            </w:r>
            <w:r w:rsidRPr="004E7D30" w:rsidR="008423BA">
              <w:t xml:space="preserve"> </w:t>
            </w:r>
            <w:r w:rsidR="00FA33E7">
              <w:t>“</w:t>
            </w:r>
            <w:r w:rsidRPr="004E7D30" w:rsidR="008423BA">
              <w:t>tieši piemērojamajiem</w:t>
            </w:r>
            <w:r w:rsidR="00F97A45">
              <w:t xml:space="preserve"> </w:t>
            </w:r>
            <w:r w:rsidRPr="004E7D30" w:rsidR="008423BA">
              <w:t>Eiropas Savienības tiesību aktiem, nacionālajā</w:t>
            </w:r>
            <w:r w:rsidRPr="004E7D30" w:rsidR="00D36D0C">
              <w:t>m</w:t>
            </w:r>
            <w:r w:rsidRPr="004E7D30" w:rsidR="008423BA">
              <w:t xml:space="preserve"> prasībā</w:t>
            </w:r>
            <w:r w:rsidRPr="004E7D30" w:rsidR="00D36D0C">
              <w:t>m</w:t>
            </w:r>
            <w:r w:rsidRPr="004E7D30" w:rsidR="008423BA">
              <w:t xml:space="preserve"> un vietējiem nosacījumiem</w:t>
            </w:r>
            <w:r w:rsidR="00FA33E7">
              <w:t>”</w:t>
            </w:r>
            <w:r w:rsidRPr="004E7D30" w:rsidR="008423BA">
              <w:t>.</w:t>
            </w:r>
          </w:p>
          <w:p w:rsidR="005E7795" w:rsidP="009656F5" w:rsidRDefault="005E7795" w14:paraId="4D6FED3D" w14:textId="77777777">
            <w:pPr>
              <w:autoSpaceDE w:val="0"/>
              <w:autoSpaceDN w:val="0"/>
              <w:adjustRightInd w:val="0"/>
              <w:jc w:val="both"/>
              <w:rPr>
                <w:b/>
              </w:rPr>
            </w:pPr>
          </w:p>
          <w:p w:rsidR="005E7795" w:rsidP="009656F5" w:rsidRDefault="005E7795" w14:paraId="59ED186C" w14:textId="77777777">
            <w:pPr>
              <w:autoSpaceDE w:val="0"/>
              <w:autoSpaceDN w:val="0"/>
              <w:adjustRightInd w:val="0"/>
              <w:jc w:val="both"/>
              <w:rPr>
                <w:b/>
              </w:rPr>
            </w:pPr>
          </w:p>
          <w:p w:rsidR="005E7795" w:rsidP="009656F5" w:rsidRDefault="005E7795" w14:paraId="77CECA36" w14:textId="77777777">
            <w:pPr>
              <w:autoSpaceDE w:val="0"/>
              <w:autoSpaceDN w:val="0"/>
              <w:adjustRightInd w:val="0"/>
              <w:jc w:val="both"/>
              <w:rPr>
                <w:b/>
              </w:rPr>
            </w:pPr>
          </w:p>
          <w:p w:rsidR="005E7795" w:rsidP="009656F5" w:rsidRDefault="005E7795" w14:paraId="533077CC" w14:textId="77777777">
            <w:pPr>
              <w:autoSpaceDE w:val="0"/>
              <w:autoSpaceDN w:val="0"/>
              <w:adjustRightInd w:val="0"/>
              <w:jc w:val="both"/>
              <w:rPr>
                <w:b/>
              </w:rPr>
            </w:pPr>
          </w:p>
          <w:p w:rsidR="005E7795" w:rsidP="009656F5" w:rsidRDefault="005E7795" w14:paraId="0570A275" w14:textId="77777777">
            <w:pPr>
              <w:autoSpaceDE w:val="0"/>
              <w:autoSpaceDN w:val="0"/>
              <w:adjustRightInd w:val="0"/>
              <w:jc w:val="both"/>
              <w:rPr>
                <w:b/>
              </w:rPr>
            </w:pPr>
          </w:p>
          <w:p w:rsidR="005E7795" w:rsidP="009656F5" w:rsidRDefault="005E7795" w14:paraId="4D1511B5" w14:textId="77777777">
            <w:pPr>
              <w:autoSpaceDE w:val="0"/>
              <w:autoSpaceDN w:val="0"/>
              <w:adjustRightInd w:val="0"/>
              <w:jc w:val="both"/>
              <w:rPr>
                <w:b/>
              </w:rPr>
            </w:pPr>
          </w:p>
          <w:p w:rsidR="005E7795" w:rsidP="009656F5" w:rsidRDefault="005E7795" w14:paraId="3C55373A" w14:textId="77777777">
            <w:pPr>
              <w:autoSpaceDE w:val="0"/>
              <w:autoSpaceDN w:val="0"/>
              <w:adjustRightInd w:val="0"/>
              <w:jc w:val="both"/>
              <w:rPr>
                <w:b/>
              </w:rPr>
            </w:pPr>
          </w:p>
          <w:p w:rsidR="005E7795" w:rsidP="009656F5" w:rsidRDefault="005E7795" w14:paraId="2C348A2F" w14:textId="77777777">
            <w:pPr>
              <w:autoSpaceDE w:val="0"/>
              <w:autoSpaceDN w:val="0"/>
              <w:adjustRightInd w:val="0"/>
              <w:jc w:val="both"/>
              <w:rPr>
                <w:b/>
              </w:rPr>
            </w:pPr>
          </w:p>
          <w:p w:rsidR="005E7795" w:rsidP="009656F5" w:rsidRDefault="005E7795" w14:paraId="76A5E5F1" w14:textId="77777777">
            <w:pPr>
              <w:autoSpaceDE w:val="0"/>
              <w:autoSpaceDN w:val="0"/>
              <w:adjustRightInd w:val="0"/>
              <w:jc w:val="both"/>
              <w:rPr>
                <w:b/>
              </w:rPr>
            </w:pPr>
          </w:p>
          <w:p w:rsidR="005E7795" w:rsidP="009656F5" w:rsidRDefault="005E7795" w14:paraId="55734995" w14:textId="77777777">
            <w:pPr>
              <w:autoSpaceDE w:val="0"/>
              <w:autoSpaceDN w:val="0"/>
              <w:adjustRightInd w:val="0"/>
              <w:jc w:val="both"/>
              <w:rPr>
                <w:b/>
              </w:rPr>
            </w:pPr>
          </w:p>
          <w:p w:rsidRPr="00823410" w:rsidR="005E7795" w:rsidP="009656F5" w:rsidRDefault="005E7795" w14:paraId="5EF49E2F" w14:textId="2F3105D1">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DB45F0" w:rsidR="00F74C10" w:rsidP="009656F5" w:rsidRDefault="00527E60" w14:paraId="6A3035CB" w14:textId="4F86D650">
            <w:pPr>
              <w:ind w:left="57" w:right="57"/>
              <w:jc w:val="both"/>
              <w:rPr>
                <w:rFonts w:eastAsia="Calibri"/>
                <w:lang w:eastAsia="en-US"/>
              </w:rPr>
            </w:pPr>
            <w:r w:rsidRPr="00527E60">
              <w:rPr>
                <w:rFonts w:eastAsia="Calibri"/>
                <w:lang w:eastAsia="en-US"/>
              </w:rPr>
              <w:lastRenderedPageBreak/>
              <w:t xml:space="preserve">2.3. procedūras esošo, jauno un grozīto tehnisko un </w:t>
            </w:r>
            <w:r w:rsidRPr="00902EBF">
              <w:rPr>
                <w:rFonts w:eastAsia="Calibri"/>
                <w:lang w:eastAsia="en-US"/>
              </w:rPr>
              <w:t xml:space="preserve">ekspluatācijas nosacījumu ievērošanai, kā tas noteikts savstarpējas izmantojamības tehniskajās </w:t>
            </w:r>
            <w:r w:rsidRPr="00902EBF">
              <w:rPr>
                <w:rFonts w:eastAsia="Calibri"/>
                <w:lang w:eastAsia="en-US"/>
              </w:rPr>
              <w:lastRenderedPageBreak/>
              <w:t xml:space="preserve">specifikācijās, nacionālajās prasībās un citos piemērojamajos ar </w:t>
            </w:r>
            <w:r w:rsidRPr="00DB45F0">
              <w:rPr>
                <w:rFonts w:eastAsia="Calibri"/>
                <w:lang w:eastAsia="en-US"/>
              </w:rPr>
              <w:t xml:space="preserve">dzelzceļa nozari tieši nesaistītos normatīvajos aktos, kā arī dzelzceļa infrastruktūras reģistrā vai tīkla pārskatā norādītos stingri izteiktos vietējā rakstura </w:t>
            </w:r>
            <w:r w:rsidRPr="00DB45F0" w:rsidR="00902EBF">
              <w:rPr>
                <w:rFonts w:eastAsia="Calibri"/>
                <w:lang w:eastAsia="en-US"/>
              </w:rPr>
              <w:t xml:space="preserve">infrastruktūras </w:t>
            </w:r>
            <w:r w:rsidRPr="00DB45F0">
              <w:rPr>
                <w:rFonts w:eastAsia="Calibri"/>
                <w:lang w:eastAsia="en-US"/>
              </w:rPr>
              <w:t xml:space="preserve">nosacījumos un ierobežojumos (turpmāk – vietējie </w:t>
            </w:r>
            <w:r w:rsidRPr="00DB45F0" w:rsidR="00CF2D88">
              <w:rPr>
                <w:rFonts w:eastAsia="Calibri"/>
                <w:lang w:eastAsia="en-US"/>
              </w:rPr>
              <w:t xml:space="preserve">infrastruktūras </w:t>
            </w:r>
            <w:r w:rsidRPr="00DB45F0">
              <w:rPr>
                <w:rFonts w:eastAsia="Calibri"/>
                <w:lang w:eastAsia="en-US"/>
              </w:rPr>
              <w:t>nosacījumi)</w:t>
            </w:r>
            <w:r w:rsidR="005625D9">
              <w:rPr>
                <w:rFonts w:eastAsia="Calibri"/>
                <w:lang w:eastAsia="en-US"/>
              </w:rPr>
              <w:t>;</w:t>
            </w:r>
          </w:p>
          <w:p w:rsidRPr="00DB45F0" w:rsidR="000148EA" w:rsidP="009656F5" w:rsidRDefault="000148EA" w14:paraId="568CAD8C" w14:textId="77777777">
            <w:pPr>
              <w:ind w:left="57" w:right="57"/>
              <w:jc w:val="both"/>
              <w:rPr>
                <w:rFonts w:eastAsia="Calibri"/>
                <w:lang w:eastAsia="en-US"/>
              </w:rPr>
            </w:pPr>
          </w:p>
          <w:p w:rsidRPr="00823410" w:rsidR="000148EA" w:rsidP="009656F5" w:rsidRDefault="000148EA" w14:paraId="696559AC" w14:textId="47663F6E">
            <w:pPr>
              <w:ind w:left="57" w:right="57"/>
              <w:jc w:val="both"/>
            </w:pPr>
          </w:p>
        </w:tc>
      </w:tr>
      <w:tr w:rsidRPr="00823410" w:rsidR="00C77882" w:rsidTr="00982A1C" w14:paraId="6010D42B"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1D4B5426" w14:textId="7E2E1410">
            <w:pPr>
              <w:ind w:left="360" w:hanging="352"/>
              <w:jc w:val="both"/>
              <w:rPr>
                <w:bCs/>
              </w:rPr>
            </w:pPr>
            <w:r w:rsidRPr="005008E4">
              <w:rPr>
                <w:bCs/>
              </w:rPr>
              <w:lastRenderedPageBreak/>
              <w:t>7.</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9863FE" w14:paraId="6DE7FB1C" w14:textId="0E96BE3E">
            <w:pPr>
              <w:jc w:val="both"/>
            </w:pPr>
            <w:r>
              <w:t>Skatīt projektu.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C77882" w:rsidP="009656F5" w:rsidRDefault="009656F5" w14:paraId="7799620C" w14:textId="29770C34">
            <w:pPr>
              <w:jc w:val="both"/>
            </w:pPr>
            <w:r w:rsidRPr="009656F5">
              <w:t>Visā projektā norādītas atsauces uz “pielikumā ietvertajām prasībām”. Vēršam uzmanību, ka atbilstoši juridiskās tehnikas prasībām projekta pamattekstā ietver patstāvīgu regulējumu, savukārt projekta pielikumos ietver regulējumu, kas papildina patstāvīgu regulējumu, piemēram, veidlapas, tabulas un tamlīdzīgi. Ievērojot minēto, lūdzam projekta pielikumā ietverto regulējumu pārnest uz projekta pamattekstu.</w:t>
            </w:r>
          </w:p>
        </w:tc>
        <w:tc>
          <w:tcPr>
            <w:tcW w:w="2126" w:type="dxa"/>
            <w:tcBorders>
              <w:left w:val="single" w:color="000000" w:sz="6" w:space="0"/>
              <w:bottom w:val="single" w:color="auto" w:sz="4" w:space="0"/>
              <w:right w:val="single" w:color="000000" w:sz="6" w:space="0"/>
            </w:tcBorders>
            <w:shd w:val="clear" w:color="auto" w:fill="auto"/>
          </w:tcPr>
          <w:p w:rsidR="00C77882" w:rsidP="009863FE" w:rsidRDefault="00FD5A1B" w14:paraId="20A7A8B5" w14:textId="77777777">
            <w:pPr>
              <w:autoSpaceDE w:val="0"/>
              <w:autoSpaceDN w:val="0"/>
              <w:adjustRightInd w:val="0"/>
              <w:jc w:val="center"/>
              <w:rPr>
                <w:b/>
              </w:rPr>
            </w:pPr>
            <w:r w:rsidRPr="00FD5A1B">
              <w:rPr>
                <w:b/>
              </w:rPr>
              <w:t>Ņemts vērā.</w:t>
            </w:r>
          </w:p>
          <w:p w:rsidRPr="00742339" w:rsidR="00742339" w:rsidP="00816E6C" w:rsidRDefault="00742339" w14:paraId="52535062" w14:textId="23A2C7BD">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6C6F44" w:rsidR="00C77882" w:rsidP="009656F5" w:rsidRDefault="009863FE" w14:paraId="613F9A57" w14:textId="074DE750">
            <w:pPr>
              <w:ind w:left="57" w:right="57"/>
              <w:jc w:val="both"/>
            </w:pPr>
            <w:r w:rsidRPr="00742339">
              <w:t>Precizēts projekts</w:t>
            </w:r>
            <w:r>
              <w:t>,</w:t>
            </w:r>
            <w:r w:rsidRPr="00742339">
              <w:t xml:space="preserve"> pielikums integrēts kā projekta </w:t>
            </w:r>
            <w:r w:rsidRPr="00816E6C">
              <w:t>52.punkts</w:t>
            </w:r>
            <w:r>
              <w:t>.</w:t>
            </w:r>
          </w:p>
        </w:tc>
      </w:tr>
      <w:tr w:rsidRPr="00823410" w:rsidR="00C77882" w:rsidTr="00982A1C" w14:paraId="2190A26B"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742CB1" w:rsidP="00710E30" w:rsidRDefault="00742CB1" w14:paraId="7E2CBE44" w14:textId="76E47A97">
            <w:pPr>
              <w:ind w:left="360" w:hanging="352"/>
              <w:jc w:val="both"/>
              <w:rPr>
                <w:bCs/>
              </w:rPr>
            </w:pPr>
            <w:r w:rsidRPr="005008E4">
              <w:rPr>
                <w:bCs/>
              </w:rPr>
              <w:t>8.</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EF2F44" w14:paraId="158C4525" w14:textId="0276EF24">
            <w:pPr>
              <w:jc w:val="both"/>
            </w:pPr>
            <w:r w:rsidRPr="00EF2F44">
              <w:t>6. Ja pārvadātāja vai manevru darbu veicēja darbības telpa atrodas tikai Latvijā un pretendents ir lūdzis Inspekciju izsniegt vienoto drošības sertifikātu, tad Inspekcija kā drošības sertifikācijas struktūra Regulas Nr.2018/763 izpratnē vienoto drošības sertifikātu izdod, atjauno, groza vai atsauc, ievērojot šajos noteikumos un Regulā Nr.2018/763 noteiktās prasības un novērtēšanas kritērijus.</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9656F5" w:rsidP="009656F5" w:rsidRDefault="009656F5" w14:paraId="7B87C78D" w14:textId="77777777">
            <w:pPr>
              <w:jc w:val="both"/>
            </w:pPr>
            <w:r w:rsidRPr="009656F5">
              <w:t>Vēršam uzmanību uz to, ka Likuma 34.</w:t>
            </w:r>
            <w:r w:rsidRPr="009656F5">
              <w:rPr>
                <w:vertAlign w:val="superscript"/>
              </w:rPr>
              <w:t>1</w:t>
            </w:r>
            <w:r w:rsidRPr="009656F5">
              <w:t xml:space="preserve"> panta piektā daļa noteic, ka, ja darbības telpa atrodas tikai Latvijā, iesniedzējs iesniegumā var lūgt, lai vienoto drošības sertifikātu izsniedz Valsts dzelzceļa tehniskā inspekcija (turpmāk – Inspekcija). Kārtību, kādā izdod, atjauno, groza vai atsauc vienoto drošības sertifikātu, kā arī tā izdošanas, atjaunošanas, grozīšanas un atsaukšanas kritērijus un procedūras nosaka Komisijas 2018. gada 9. aprīļa īstenošanas regula (ES) 2018/763, ar ko nosaka praktisku kārtību vienoto drošības sertifikātu </w:t>
            </w:r>
            <w:r w:rsidRPr="009656F5">
              <w:lastRenderedPageBreak/>
              <w:t>izdošanai dzelzceļa pārvadājumu uzņēmumiem saskaņā ar Eiropas Parlamenta un Padomes direktīvu (ES) 2016/798 un atceļ Komisijas regulu (EK) Nr. 653/2007 (turpmāk – Regula 2018/763).</w:t>
            </w:r>
          </w:p>
          <w:p w:rsidRPr="009656F5" w:rsidR="009656F5" w:rsidP="009656F5" w:rsidRDefault="009656F5" w14:paraId="22FF5413" w14:textId="77777777">
            <w:pPr>
              <w:jc w:val="both"/>
            </w:pPr>
            <w:r w:rsidRPr="009656F5">
              <w:t>Ievērojot minēto, lūdzam precizēt projekta 6. punktā noteikto, ka, ja pārvadātāja vai manevru darbu veicēja darbības telpa atrodas tikai Latvijā, un pretendents ir lūdzis Inspekciju izsniegt vienoto drošības sertifikātu, tad Inspekcija kā drošības sertifikācijas struktūra Regulas Nr. 2018/763 izpratnē vienoto drošības sertifikātu izdod, atjauno, groza vai atsauc, ievērojot šajos noteikumos un Regulā Nr. 2018/763 noteiktās prasības un novērtēšanas kritērijus, kā arī nepieciešamības gadījumā precizēt projekta II nodaļā paredzēto regulējumu.</w:t>
            </w:r>
          </w:p>
          <w:p w:rsidRPr="009656F5" w:rsidR="009F1AAF" w:rsidP="009656F5" w:rsidRDefault="009656F5" w14:paraId="41455B75" w14:textId="38492D73">
            <w:pPr>
              <w:jc w:val="both"/>
            </w:pPr>
            <w:r w:rsidRPr="009656F5">
              <w:t>Vienlaikus norādām, ka visā projektā norādītas atsauces uz vairākām Eiropas Savienības regulām, tomēr nav identificētas konkrētas Eiropas Savienības regulu vienības. Ievērojot minēto, lai atvieglotu projekta uztveramību, lūdzam precizēt projektu, ja iespējams, norādot konkrētas regulu vienības, tādējādi atvieglojot projekta piemērošanu praksē.</w:t>
            </w:r>
          </w:p>
        </w:tc>
        <w:tc>
          <w:tcPr>
            <w:tcW w:w="2126" w:type="dxa"/>
            <w:tcBorders>
              <w:left w:val="single" w:color="000000" w:sz="6" w:space="0"/>
              <w:bottom w:val="single" w:color="auto" w:sz="4" w:space="0"/>
              <w:right w:val="single" w:color="000000" w:sz="6" w:space="0"/>
            </w:tcBorders>
            <w:shd w:val="clear" w:color="auto" w:fill="auto"/>
          </w:tcPr>
          <w:p w:rsidR="00C77882" w:rsidP="001C5B39" w:rsidRDefault="00E77CD8" w14:paraId="45F84C97" w14:textId="7210E317">
            <w:pPr>
              <w:autoSpaceDE w:val="0"/>
              <w:autoSpaceDN w:val="0"/>
              <w:adjustRightInd w:val="0"/>
              <w:jc w:val="center"/>
              <w:rPr>
                <w:b/>
              </w:rPr>
            </w:pPr>
            <w:r>
              <w:rPr>
                <w:b/>
              </w:rPr>
              <w:lastRenderedPageBreak/>
              <w:t xml:space="preserve">Panākta vienošanās saskaņošanas </w:t>
            </w:r>
            <w:r w:rsidR="00A92A04">
              <w:rPr>
                <w:b/>
              </w:rPr>
              <w:t>laik</w:t>
            </w:r>
            <w:r>
              <w:rPr>
                <w:b/>
              </w:rPr>
              <w:t>ā.</w:t>
            </w:r>
          </w:p>
          <w:p w:rsidRPr="00742339" w:rsidR="00742339" w:rsidP="009656F5" w:rsidRDefault="00AF4CED" w14:paraId="1CD26821" w14:textId="19ABD91E">
            <w:pPr>
              <w:autoSpaceDE w:val="0"/>
              <w:autoSpaceDN w:val="0"/>
              <w:adjustRightInd w:val="0"/>
              <w:jc w:val="both"/>
            </w:pPr>
            <w:r w:rsidRPr="00742339">
              <w:t xml:space="preserve">Projekts paredz, ka </w:t>
            </w:r>
            <w:r>
              <w:t xml:space="preserve">Inspekcija piemēro Regulā noteikto kārtību darbojoties kā Regulā minētā drošības sertifikācijas struktūra. Tas attiecas tikai uz gadījumiem, kad </w:t>
            </w:r>
            <w:r>
              <w:lastRenderedPageBreak/>
              <w:t xml:space="preserve">darbības telpa ir Latvija. Nav iespējams atsaukties uz Regulas vienībām, Regula ir 30 lpp. dokuments ar sīki detalizētu praktisko procedūru kārtību. Likumprojekts ar deleģējumu tika izstrādāts laikā pirms Regulas publicēšanas, sākotnēji  bija indikācijas ka Regula atstās arī kādu rīcības brīvību, bet tas netika akceptēts, tāpēc projekta </w:t>
            </w:r>
            <w:r w:rsidR="00D80FC8">
              <w:t>3.</w:t>
            </w:r>
            <w:r>
              <w:t>nodaļā ir pārņemtas vai precizētas nepārņemtās Direktīvas normas, kas ir jāievēro saistībā ar Regulas piemērošanu</w:t>
            </w:r>
          </w:p>
        </w:tc>
        <w:tc>
          <w:tcPr>
            <w:tcW w:w="4278" w:type="dxa"/>
            <w:gridSpan w:val="3"/>
            <w:tcBorders>
              <w:top w:val="single" w:color="auto" w:sz="4" w:space="0"/>
              <w:left w:val="single" w:color="auto" w:sz="4" w:space="0"/>
              <w:bottom w:val="single" w:color="auto" w:sz="4" w:space="0"/>
            </w:tcBorders>
            <w:shd w:val="clear" w:color="auto" w:fill="auto"/>
          </w:tcPr>
          <w:p w:rsidRPr="00823410" w:rsidR="00C77882" w:rsidP="00AF4CED" w:rsidRDefault="00CF2D88" w14:paraId="4EF17E8C" w14:textId="313252AD">
            <w:pPr>
              <w:ind w:left="57" w:right="57"/>
              <w:jc w:val="both"/>
            </w:pPr>
            <w:r w:rsidRPr="00CF2D88">
              <w:lastRenderedPageBreak/>
              <w:t>6. Ja pārvadātāja vai manevru darbu veicēja darbības telpa atrodas tikai Latvijā un pretendents ir lūdzis Inspekciju izsniegt vienoto drošības sertifikātu, tad Inspekcija kā drošības sertifikācijas struktūra Regulas Nr.2018/763 izpratnē vienoto drošības sertifikātu izdod, atjauno, groza vai atsauc, ievērojot šajos noteikumos un Regulā Nr.2018/763 noteiktās prasības un novērtēšanas kritērijus.</w:t>
            </w:r>
          </w:p>
        </w:tc>
      </w:tr>
      <w:tr w:rsidRPr="00823410" w:rsidR="00C77882" w:rsidTr="00982A1C" w14:paraId="3F86B33A"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549B90B0" w14:textId="0E59AFF5">
            <w:pPr>
              <w:ind w:left="360" w:hanging="352"/>
              <w:jc w:val="both"/>
              <w:rPr>
                <w:bCs/>
              </w:rPr>
            </w:pPr>
            <w:r w:rsidRPr="005008E4">
              <w:rPr>
                <w:bCs/>
              </w:rPr>
              <w:lastRenderedPageBreak/>
              <w:t>9.</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B90A80" w:rsidP="00B90A80" w:rsidRDefault="00EF2F44" w14:paraId="6F0A928A" w14:textId="684A521A">
            <w:pPr>
              <w:jc w:val="both"/>
            </w:pPr>
            <w:r w:rsidRPr="00EF2F44">
              <w:t>7. Pretendents Regulā Nr.2018/763 minēto informāciju attiecībā uz darbības telpu Latvijā iesniedz latviešu valodā.</w:t>
            </w:r>
          </w:p>
        </w:tc>
        <w:tc>
          <w:tcPr>
            <w:tcW w:w="4253" w:type="dxa"/>
            <w:gridSpan w:val="2"/>
            <w:tcBorders>
              <w:left w:val="single" w:color="000000" w:sz="6" w:space="0"/>
              <w:bottom w:val="single" w:color="auto" w:sz="4" w:space="0"/>
              <w:right w:val="single" w:color="000000" w:sz="6" w:space="0"/>
            </w:tcBorders>
            <w:shd w:val="clear" w:color="auto" w:fill="auto"/>
          </w:tcPr>
          <w:p w:rsidR="009F1AAF" w:rsidP="009656F5" w:rsidRDefault="009656F5" w14:paraId="0B6CDC94" w14:textId="77777777">
            <w:pPr>
              <w:ind w:left="34"/>
              <w:jc w:val="both"/>
            </w:pPr>
            <w:r w:rsidRPr="009656F5">
              <w:t>Vēršam uzmanību uz to, ka no APL 56. panta 1.</w:t>
            </w:r>
            <w:r w:rsidRPr="009656F5">
              <w:rPr>
                <w:vertAlign w:val="superscript"/>
              </w:rPr>
              <w:t>1</w:t>
            </w:r>
            <w:r w:rsidRPr="009656F5">
              <w:t xml:space="preserve"> daļā minētā izriet, ka iesniegumu iestādē iesniedz atbilstoši Valsts valodas likumā noteiktajām prasībām. Ievērojot minēto, ka arī to, ka atbilstoši MKN 108 3.2. apakšpunktā noteiktajam normatīvā akta projektā neietver tiesību normas, kas dublē augstāka vai tāda paša spēka normatīvā akta tiesību normās ietverto normatīvo regulējumu, lūdzam svītrot projekta 7. punktu.</w:t>
            </w:r>
          </w:p>
          <w:p w:rsidR="00E85934" w:rsidP="009656F5" w:rsidRDefault="00E85934" w14:paraId="6A56C5E5" w14:textId="77777777">
            <w:pPr>
              <w:ind w:left="34"/>
              <w:jc w:val="both"/>
            </w:pPr>
          </w:p>
          <w:p w:rsidRPr="00FB0AF1" w:rsidR="00E85934" w:rsidP="00E85934" w:rsidRDefault="00E85934" w14:paraId="6AF35E27" w14:textId="77777777">
            <w:pPr>
              <w:ind w:left="34"/>
              <w:jc w:val="both"/>
              <w:rPr>
                <w:i/>
              </w:rPr>
            </w:pPr>
            <w:r w:rsidRPr="00FB0AF1">
              <w:rPr>
                <w:i/>
              </w:rPr>
              <w:t>Tieslietu ministrijas viedoklis saskaņošanā 2020.gada 16.aprīlī:</w:t>
            </w:r>
          </w:p>
          <w:p w:rsidRPr="009656F5" w:rsidR="00E85934" w:rsidP="0070262D" w:rsidRDefault="00E85934" w14:paraId="03A4B9D6" w14:textId="51740100">
            <w:pPr>
              <w:ind w:left="34"/>
              <w:jc w:val="both"/>
            </w:pPr>
            <w:r w:rsidRPr="00DB45F0">
              <w:t>Lai nerastos dublēšanās, lūdzam projekta 7. punktā norādīt šādu atsauci “saskaņā ar Valsts valodas likuma prasībām”.</w:t>
            </w:r>
          </w:p>
        </w:tc>
        <w:tc>
          <w:tcPr>
            <w:tcW w:w="2126" w:type="dxa"/>
            <w:tcBorders>
              <w:left w:val="single" w:color="000000" w:sz="6" w:space="0"/>
              <w:bottom w:val="single" w:color="auto" w:sz="4" w:space="0"/>
              <w:right w:val="single" w:color="000000" w:sz="6" w:space="0"/>
            </w:tcBorders>
            <w:shd w:val="clear" w:color="auto" w:fill="auto"/>
          </w:tcPr>
          <w:p w:rsidR="00DB45F0" w:rsidP="001C5B39" w:rsidRDefault="00DB45F0" w14:paraId="0A5E4ABA" w14:textId="53A453A7">
            <w:pPr>
              <w:autoSpaceDE w:val="0"/>
              <w:autoSpaceDN w:val="0"/>
              <w:adjustRightInd w:val="0"/>
              <w:jc w:val="center"/>
            </w:pPr>
            <w:r>
              <w:rPr>
                <w:b/>
              </w:rPr>
              <w:t>Ņ</w:t>
            </w:r>
            <w:r w:rsidRPr="00FD5A1B" w:rsidR="00FD5A1B">
              <w:rPr>
                <w:b/>
              </w:rPr>
              <w:t>emts vērā</w:t>
            </w:r>
            <w:r w:rsidR="001C5B39">
              <w:rPr>
                <w:b/>
              </w:rPr>
              <w:t>.</w:t>
            </w:r>
          </w:p>
          <w:p w:rsidRPr="00FD5A1B" w:rsidR="00251B93" w:rsidP="009656F5" w:rsidRDefault="00251B93" w14:paraId="617A0A67" w14:textId="778FA4C6">
            <w:pPr>
              <w:autoSpaceDE w:val="0"/>
              <w:autoSpaceDN w:val="0"/>
              <w:adjustRightInd w:val="0"/>
              <w:jc w:val="both"/>
              <w:rPr>
                <w:b/>
              </w:rPr>
            </w:pPr>
          </w:p>
        </w:tc>
        <w:tc>
          <w:tcPr>
            <w:tcW w:w="4278" w:type="dxa"/>
            <w:gridSpan w:val="3"/>
            <w:tcBorders>
              <w:top w:val="single" w:color="auto" w:sz="4" w:space="0"/>
              <w:left w:val="single" w:color="auto" w:sz="4" w:space="0"/>
              <w:bottom w:val="single" w:color="auto" w:sz="4" w:space="0"/>
            </w:tcBorders>
            <w:shd w:val="clear" w:color="auto" w:fill="auto"/>
          </w:tcPr>
          <w:p w:rsidRPr="00823410" w:rsidR="00716E9F" w:rsidP="00452D66" w:rsidRDefault="00CF2D88" w14:paraId="21EDEC15" w14:textId="4EB64451">
            <w:pPr>
              <w:ind w:left="57" w:right="57"/>
              <w:jc w:val="both"/>
            </w:pPr>
            <w:r w:rsidRPr="00CF2D88">
              <w:t xml:space="preserve">7. Pretendents Regulā Nr.2018/763 </w:t>
            </w:r>
            <w:r w:rsidRPr="00DB45F0">
              <w:t>minēto informāciju attiecībā uz darbības telpu Latvijā iesniedz latviešu valodā saskaņā ar Valsts valodas likuma prasībām.</w:t>
            </w:r>
          </w:p>
        </w:tc>
      </w:tr>
      <w:tr w:rsidRPr="00823410" w:rsidR="00C77882" w:rsidTr="00982A1C" w14:paraId="222203E9"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617DBF5C" w14:textId="5E658441">
            <w:pPr>
              <w:ind w:left="360" w:hanging="352"/>
              <w:jc w:val="both"/>
              <w:rPr>
                <w:bCs/>
              </w:rPr>
            </w:pPr>
            <w:r w:rsidRPr="005008E4">
              <w:rPr>
                <w:bCs/>
              </w:rPr>
              <w:t>10.</w:t>
            </w:r>
          </w:p>
        </w:tc>
        <w:tc>
          <w:tcPr>
            <w:tcW w:w="3260" w:type="dxa"/>
            <w:gridSpan w:val="3"/>
            <w:tcBorders>
              <w:left w:val="single" w:color="000000" w:sz="6" w:space="0"/>
              <w:bottom w:val="single" w:color="auto" w:sz="4" w:space="0"/>
              <w:right w:val="single" w:color="000000" w:sz="6" w:space="0"/>
            </w:tcBorders>
            <w:shd w:val="clear" w:color="auto" w:fill="auto"/>
          </w:tcPr>
          <w:p w:rsidRPr="00EF2F44" w:rsidR="00EF2F44" w:rsidP="00EF2F44" w:rsidRDefault="00EF2F44" w14:paraId="1679B916" w14:textId="43A88ED3">
            <w:pPr>
              <w:jc w:val="both"/>
            </w:pPr>
            <w:r w:rsidRPr="00EF2F44">
              <w:t xml:space="preserve">9. Ja pretendenta darbība ietver arī šo noteikumu 19.punktā, izņemot 19.1.1. un 19.1.3.apakšpunktā, minētās darbības, attiecībā uz kurām ir paredzēta šo noteikumu 3.nodaļā minētās drošības apliecības saņemšana, atbilstību šo noteikumu 3.nodaļas prasībām pārbauda un par drošības apliecības izdošanu, atjaunošanu, grozīšanu vai atsaukšanu Inspekcija veic </w:t>
            </w:r>
            <w:r w:rsidRPr="00EF2F44">
              <w:lastRenderedPageBreak/>
              <w:t>novērtējumu un lemj vienotā drošības sertifikāta izdošanas procedūrā. Šajā gadījumā vienotā drošības sertifikāta izdošanai nepieciešamo dokumentāciju papildina ar šo noteikumu 3.nodaļā norādīto dokumentāciju. Šajā gadījumā pārvadātājs vai manevru darbu veicējs nesaņem drošības apliecību, bet par atbilstību prasībām tiek pieņemts attiecīgs lēmums vai veikta atzīme vienotajā drošības sertifikātā.</w:t>
            </w:r>
          </w:p>
          <w:p w:rsidRPr="00823410" w:rsidR="00C77882" w:rsidP="00EF2F44" w:rsidRDefault="00EF2F44" w14:paraId="302318D8" w14:textId="56BE31FF">
            <w:pPr>
              <w:jc w:val="both"/>
            </w:pPr>
            <w:r w:rsidRPr="00EF2F44">
              <w:t>10. Vienoto drošības sertifikātu neizdod šo noteikumu 19.1.1. un 19.1.3.apakšpunktā minētajam infrastruktūras pārvaldītājam, kas infrastruktūras pārvaldīšanai veic arī manevru darbus un vilcienu satiksmi, kas nav dzelzceļa pārvadājumi, ja minēto darbību atbilstība drošības prasībām ir apliecināta, izdodot drošības apliecību saskaņā ar šo noteikumu 3.nodaļu.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9656F5" w:rsidP="009656F5" w:rsidRDefault="009656F5" w14:paraId="6515F020" w14:textId="77777777">
            <w:pPr>
              <w:jc w:val="both"/>
            </w:pPr>
            <w:r w:rsidRPr="009656F5">
              <w:lastRenderedPageBreak/>
              <w:t xml:space="preserve">Vēršam uzmanību uz to, ka projekta 9. un 10. punktā paredzētais regulējums ir neskaidrs, piemēram, nav saprotams, kādēļ no projekta 9. punktā minētā izriet, ka persona neiesniedz iesniegumu par drošības apliecības saņemšanu; kādēļ gadījumā, kad nepieciešams saņemt drošības apliecību, Inspekcija veic novērtējumu par drošības apliecības izdošanu, atjaunošanu, grozīšanu vai atsaukšanu vienotā drošības sertifikāta izdošanas procedūrā; kas projekta 9. punktā papildina vienotā drošības </w:t>
            </w:r>
            <w:r w:rsidRPr="009656F5">
              <w:lastRenderedPageBreak/>
              <w:t>sertifikāta izdošanai nepieciešamo dokumentāciju ar projekta III nodaļā norādīto dokumentāciju, kādēļ projekta 10. punkts paredz, ka Inspekcija neizdod vienoto drošības sertifikātu. Ievērojot minēto, lūdzam izvērtēt projekta 9. un 10. punktā paredzēto regulējumu un precizēt to vai papildināt projekta anotāciju ar atbilstošu skaidrojumu.</w:t>
            </w:r>
          </w:p>
          <w:p w:rsidRPr="009656F5" w:rsidR="009F1AAF" w:rsidP="009656F5" w:rsidRDefault="009656F5" w14:paraId="4D7CE9F0" w14:textId="15A9E3DA">
            <w:pPr>
              <w:jc w:val="both"/>
            </w:pPr>
            <w:r w:rsidRPr="009656F5">
              <w:t>Atbilstoši minētajam lūdzam izvērtēt arī projekta 21., 22., 23., 43. un 45. punktā paredzēto regulējumu un nepieciešamības gadījumā precizēt to vai papildināt projekta anotāciju ar atbilstošu skaidrojumu.</w:t>
            </w:r>
          </w:p>
        </w:tc>
        <w:tc>
          <w:tcPr>
            <w:tcW w:w="2126" w:type="dxa"/>
            <w:tcBorders>
              <w:left w:val="single" w:color="000000" w:sz="6" w:space="0"/>
              <w:bottom w:val="single" w:color="auto" w:sz="4" w:space="0"/>
              <w:right w:val="single" w:color="000000" w:sz="6" w:space="0"/>
            </w:tcBorders>
            <w:shd w:val="clear" w:color="auto" w:fill="auto"/>
          </w:tcPr>
          <w:p w:rsidR="00C77882" w:rsidP="0070262D" w:rsidRDefault="00FD5A1B" w14:paraId="4E413B66" w14:textId="77777777">
            <w:pPr>
              <w:autoSpaceDE w:val="0"/>
              <w:autoSpaceDN w:val="0"/>
              <w:adjustRightInd w:val="0"/>
              <w:jc w:val="center"/>
              <w:rPr>
                <w:b/>
              </w:rPr>
            </w:pPr>
            <w:r w:rsidRPr="00FD5A1B">
              <w:rPr>
                <w:b/>
              </w:rPr>
              <w:lastRenderedPageBreak/>
              <w:t>Ņemts vērā.</w:t>
            </w:r>
          </w:p>
          <w:p w:rsidR="0070262D" w:rsidP="009656F5" w:rsidRDefault="0070262D" w14:paraId="5D1D6D3B" w14:textId="77777777">
            <w:pPr>
              <w:autoSpaceDE w:val="0"/>
              <w:autoSpaceDN w:val="0"/>
              <w:adjustRightInd w:val="0"/>
              <w:jc w:val="both"/>
            </w:pPr>
          </w:p>
          <w:p w:rsidRPr="00387628" w:rsidR="00387628" w:rsidP="009656F5" w:rsidRDefault="00387628" w14:paraId="4C27835D" w14:textId="7B789C9F">
            <w:pPr>
              <w:autoSpaceDE w:val="0"/>
              <w:autoSpaceDN w:val="0"/>
              <w:adjustRightInd w:val="0"/>
              <w:jc w:val="both"/>
            </w:pPr>
            <w:r w:rsidRPr="00387628">
              <w:t xml:space="preserve">Papildināta </w:t>
            </w:r>
            <w:r w:rsidR="0070262D">
              <w:t xml:space="preserve">projekta </w:t>
            </w:r>
            <w:r w:rsidRPr="00387628">
              <w:t>anotācija</w:t>
            </w:r>
            <w:r w:rsidR="0070262D">
              <w:t>.</w:t>
            </w:r>
          </w:p>
        </w:tc>
        <w:tc>
          <w:tcPr>
            <w:tcW w:w="4278" w:type="dxa"/>
            <w:gridSpan w:val="3"/>
            <w:tcBorders>
              <w:top w:val="single" w:color="auto" w:sz="4" w:space="0"/>
              <w:left w:val="single" w:color="auto" w:sz="4" w:space="0"/>
              <w:bottom w:val="single" w:color="auto" w:sz="4" w:space="0"/>
            </w:tcBorders>
            <w:shd w:val="clear" w:color="auto" w:fill="auto"/>
          </w:tcPr>
          <w:p w:rsidRPr="00EF2F44" w:rsidR="00387628" w:rsidP="00387628" w:rsidRDefault="00387628" w14:paraId="708907C5" w14:textId="7ED1B171">
            <w:pPr>
              <w:jc w:val="both"/>
            </w:pPr>
            <w:r w:rsidRPr="00EF2F44">
              <w:t xml:space="preserve">9. </w:t>
            </w:r>
            <w:r w:rsidRPr="00B95778">
              <w:t>Ja pretendenta darbība ietver arī šo noteikumu 1</w:t>
            </w:r>
            <w:r w:rsidRPr="00B95778" w:rsidR="00C42EF2">
              <w:t>7</w:t>
            </w:r>
            <w:r w:rsidRPr="00B95778">
              <w:t>.punktā, izņemot 1</w:t>
            </w:r>
            <w:r w:rsidRPr="00B95778" w:rsidR="00C42EF2">
              <w:t>7</w:t>
            </w:r>
            <w:r w:rsidRPr="00B95778">
              <w:t>.1.1. un 1</w:t>
            </w:r>
            <w:r w:rsidRPr="00B95778" w:rsidR="00C42EF2">
              <w:t>7</w:t>
            </w:r>
            <w:r w:rsidRPr="00B95778">
              <w:t>.1.3.apakšpunktā, minētās darbības, attiecībā uz kurām ir paredzēta šo noteikumu 3.nodaļā</w:t>
            </w:r>
            <w:r w:rsidRPr="00EF2F44">
              <w:t xml:space="preserve"> minētās drošības apliecības saņemšana, atbilstību šo noteikumu 3.nodaļas prasībām pārbauda un par drošības apliecības izdošanu, atjaunošanu, grozīšanu vai atsaukšanu Inspekcija veic novērtējumu un lemj vienotā drošības sertifikāta izdošanas procedūrā. Šajā gadījumā vienotā drošības sertifikāta izdošanai nepieciešamo </w:t>
            </w:r>
            <w:r w:rsidRPr="00EF2F44">
              <w:lastRenderedPageBreak/>
              <w:t>dokumentāciju papildina ar šo noteikumu 3.nodaļā norādīto dokumentāciju. Šajā gadījumā pārvadātājs vai manevru darbu veicējs nesaņem drošības apliecību, bet par atbilstību prasībām tiek pieņemts attiecīgs lēmums vai veikta atzīme vienotajā drošības sertifikātā.</w:t>
            </w:r>
          </w:p>
          <w:p w:rsidR="00387628" w:rsidP="00387628" w:rsidRDefault="00387628" w14:paraId="04104764" w14:textId="28A3D193">
            <w:pPr>
              <w:ind w:left="57" w:right="57"/>
              <w:jc w:val="both"/>
            </w:pPr>
            <w:r w:rsidRPr="00EF2F44">
              <w:t xml:space="preserve">10. Vienoto drošības sertifikātu neizdod šo </w:t>
            </w:r>
            <w:r w:rsidRPr="00B95778">
              <w:t>noteikumu 1</w:t>
            </w:r>
            <w:r w:rsidRPr="00B95778" w:rsidR="00C42EF2">
              <w:t>7</w:t>
            </w:r>
            <w:r w:rsidRPr="00B95778">
              <w:t>.1.1. un 1</w:t>
            </w:r>
            <w:r w:rsidRPr="00B95778" w:rsidR="00C42EF2">
              <w:t>7</w:t>
            </w:r>
            <w:r w:rsidRPr="00B95778">
              <w:t>.1.3.apakšpunktā</w:t>
            </w:r>
            <w:r w:rsidRPr="00EF2F44">
              <w:t xml:space="preserve"> minētajam infrastruktūras pārvaldītājam, kas infrastruktūras pārvaldīšanai veic arī manevru darbus un vilcienu satiksmi, kas nav dzelzceļa pārvadājumi, ja minēto darbību atbilstība drošības prasībām ir apliecināta, izdodot drošības apliecību saskaņā ar šo noteikumu 3.nodaļu.</w:t>
            </w:r>
          </w:p>
          <w:p w:rsidR="00387628" w:rsidP="009656F5" w:rsidRDefault="00387628" w14:paraId="3B997CD9" w14:textId="77777777">
            <w:pPr>
              <w:ind w:left="57" w:right="57"/>
              <w:jc w:val="both"/>
            </w:pPr>
          </w:p>
          <w:p w:rsidRPr="00823410" w:rsidR="00387628" w:rsidP="00816E6C" w:rsidRDefault="00387628" w14:paraId="22E76532" w14:textId="389C28CE">
            <w:pPr>
              <w:ind w:left="57" w:right="57"/>
              <w:jc w:val="both"/>
            </w:pPr>
          </w:p>
        </w:tc>
      </w:tr>
      <w:tr w:rsidRPr="00823410" w:rsidR="00C77882" w:rsidTr="00982A1C" w14:paraId="50E12A13" w14:textId="77777777">
        <w:trPr>
          <w:trHeight w:val="255"/>
        </w:trPr>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5D227919" w14:textId="459A3787">
            <w:pPr>
              <w:ind w:left="360" w:hanging="352"/>
              <w:jc w:val="both"/>
              <w:rPr>
                <w:bCs/>
              </w:rPr>
            </w:pPr>
            <w:r w:rsidRPr="005008E4">
              <w:rPr>
                <w:bCs/>
              </w:rPr>
              <w:lastRenderedPageBreak/>
              <w:t>11.</w:t>
            </w:r>
          </w:p>
        </w:tc>
        <w:tc>
          <w:tcPr>
            <w:tcW w:w="3260" w:type="dxa"/>
            <w:gridSpan w:val="3"/>
            <w:tcBorders>
              <w:left w:val="single" w:color="000000" w:sz="6" w:space="0"/>
              <w:bottom w:val="single" w:color="auto" w:sz="4" w:space="0"/>
              <w:right w:val="single" w:color="000000" w:sz="6" w:space="0"/>
            </w:tcBorders>
            <w:shd w:val="clear" w:color="auto" w:fill="auto"/>
          </w:tcPr>
          <w:p w:rsidR="00C77882" w:rsidP="00B90A80" w:rsidRDefault="00EF2F44" w14:paraId="36A720AD" w14:textId="77777777">
            <w:pPr>
              <w:jc w:val="both"/>
            </w:pPr>
            <w:r w:rsidRPr="00EF2F44">
              <w:t xml:space="preserve">11. Par Inspekcijas lēmumu pretendentam tiek paziņots </w:t>
            </w:r>
            <w:r w:rsidRPr="00EF2F44">
              <w:lastRenderedPageBreak/>
              <w:t>Eiropas Savienības Dzelzceļu aģentūras kontaktpunktā. Vienotais drošības sertifikāts tiek publiskots Eiropas Savienības Dzelzceļu aģentūras datubāzē.</w:t>
            </w:r>
          </w:p>
          <w:p w:rsidRPr="00EF2F44" w:rsidR="00EF2F44" w:rsidP="00EF2F44" w:rsidRDefault="00EF2F44" w14:paraId="60F5FA9A" w14:textId="77777777">
            <w:pPr>
              <w:jc w:val="both"/>
            </w:pPr>
            <w:r w:rsidRPr="00EF2F44">
              <w:t>53. Inspekcija lēmumu par drošības apliecības izdošanu, atjaunošanu, grozīšanu vai atsaukšanu normatīvajos aktos noteiktā kārtībā paziņo komersantam. Inspekcija informāciju par spēkā esošām drošības apliecībām publicē savā tīmekļa vietnē (www.vdzti.gov.lv).</w:t>
            </w:r>
          </w:p>
          <w:p w:rsidRPr="00EF2F44" w:rsidR="00EF2F44" w:rsidP="00EF2F44" w:rsidRDefault="00EF2F44" w14:paraId="4282138A" w14:textId="77777777">
            <w:pPr>
              <w:jc w:val="both"/>
            </w:pPr>
            <w:r w:rsidRPr="00EF2F44">
              <w:t>77. Inspekcija lēmumu par šo noteikumu 56.punktā minētā sertifikāta izdošanu, atjaunošanu, grozīšanu vai atsaukšanu normatīvajos aktos noteiktā kārtībā paziņo komersantam. Inspekcija informāciju par tās izdotiem spēkā esošiem sertifikātiem publicē savā tīmekļa vietnē (www.vdzti.gov.lv).</w:t>
            </w:r>
          </w:p>
          <w:p w:rsidRPr="00823410" w:rsidR="00EF2F44" w:rsidP="00B90A80" w:rsidRDefault="00EF2F44" w14:paraId="0E8CAC1F" w14:textId="19AD6491">
            <w:pPr>
              <w:jc w:val="both"/>
            </w:pPr>
          </w:p>
        </w:tc>
        <w:tc>
          <w:tcPr>
            <w:tcW w:w="4253" w:type="dxa"/>
            <w:gridSpan w:val="2"/>
            <w:tcBorders>
              <w:left w:val="single" w:color="000000" w:sz="6" w:space="0"/>
              <w:bottom w:val="single" w:color="auto" w:sz="4" w:space="0"/>
              <w:right w:val="single" w:color="000000" w:sz="6" w:space="0"/>
            </w:tcBorders>
            <w:shd w:val="clear" w:color="auto" w:fill="auto"/>
          </w:tcPr>
          <w:p w:rsidRPr="009656F5" w:rsidR="009F1AAF" w:rsidP="009656F5" w:rsidRDefault="009656F5" w14:paraId="45B3D44A" w14:textId="3EEE2649">
            <w:pPr>
              <w:jc w:val="both"/>
            </w:pPr>
            <w:r w:rsidRPr="009656F5">
              <w:lastRenderedPageBreak/>
              <w:t xml:space="preserve">Projekta 11. punkta otrais teikums paredz, ka vienotais drošības sertifikāts tiek </w:t>
            </w:r>
            <w:r w:rsidRPr="009656F5">
              <w:lastRenderedPageBreak/>
              <w:t>publiskots Eiropas Savienības Dzelzceļu aģentūras datubāzē. Projekta 53. punkta otrais teikums paredz, ka Inspekcija informāciju par spēkā esošajām drošības apliecībām publicē savā tīmekļa vietnē (www.vdzti.gov.lv) un projekta 77. punkta otrais teikums paredz, ka Inspekcija informāciju par tās izdotiem spēkā esošajiem sertifikātiem publicē savā tīmekļa vietnē (www.vdzti.gov.lv). Bet nav skaidrs, no kuras Likuma normas izriet attiecīgs pilnvarojums Ministru kabinetam. Ievērojot minēto, lūdzam izvērtēt projekta 11. punkta otrajā teikumā, 53. punkta otrajā teikumā un 77. punkta otrajā teikumā paredzēto regulējumu un precizēt to vai papildināt projekta anotāciju ar atbilstošu skaidrojumu. Vienlaikus lūdzam projektā nenorādīt tīmekļa vietnes hipersaiti, jo minētā informācija ir mainīga. Attiecīgi nav ietverama vairākkārt piemērojamā tiesību aktā.</w:t>
            </w:r>
          </w:p>
        </w:tc>
        <w:tc>
          <w:tcPr>
            <w:tcW w:w="2126" w:type="dxa"/>
            <w:tcBorders>
              <w:left w:val="single" w:color="000000" w:sz="6" w:space="0"/>
              <w:bottom w:val="single" w:color="auto" w:sz="4" w:space="0"/>
              <w:right w:val="single" w:color="000000" w:sz="6" w:space="0"/>
            </w:tcBorders>
            <w:shd w:val="clear" w:color="auto" w:fill="auto"/>
          </w:tcPr>
          <w:p w:rsidR="000F201D" w:rsidP="00E66FE7" w:rsidRDefault="00FD5A1B" w14:paraId="23600C94" w14:textId="77777777">
            <w:pPr>
              <w:autoSpaceDE w:val="0"/>
              <w:autoSpaceDN w:val="0"/>
              <w:adjustRightInd w:val="0"/>
              <w:jc w:val="center"/>
              <w:rPr>
                <w:b/>
              </w:rPr>
            </w:pPr>
            <w:r w:rsidRPr="00FD5A1B">
              <w:rPr>
                <w:b/>
              </w:rPr>
              <w:lastRenderedPageBreak/>
              <w:t>Ņ</w:t>
            </w:r>
            <w:r w:rsidR="009E2E1B">
              <w:rPr>
                <w:b/>
              </w:rPr>
              <w:t>emts vērā.</w:t>
            </w:r>
          </w:p>
          <w:p w:rsidRPr="009E2E1B" w:rsidR="009E2E1B" w:rsidP="00C8526B" w:rsidRDefault="00FC6F81" w14:paraId="1EE3E91C" w14:textId="407AEF3C">
            <w:pPr>
              <w:autoSpaceDE w:val="0"/>
              <w:autoSpaceDN w:val="0"/>
              <w:adjustRightInd w:val="0"/>
              <w:jc w:val="both"/>
            </w:pPr>
            <w:r>
              <w:lastRenderedPageBreak/>
              <w:t>S</w:t>
            </w:r>
            <w:r w:rsidR="00452D66">
              <w:t xml:space="preserve">kat. </w:t>
            </w:r>
            <w:r w:rsidR="00320C21">
              <w:t>a</w:t>
            </w:r>
            <w:r w:rsidR="00452D66">
              <w:t>rī</w:t>
            </w:r>
            <w:r w:rsidR="00320C21">
              <w:t xml:space="preserve"> izziņas</w:t>
            </w:r>
            <w:r w:rsidR="00452D66">
              <w:t xml:space="preserve"> 12. un 23.</w:t>
            </w:r>
            <w:r w:rsidR="00320C21">
              <w:t>punktu.</w:t>
            </w:r>
            <w:r w:rsidR="009E2E1B">
              <w:t xml:space="preserve"> </w:t>
            </w:r>
          </w:p>
        </w:tc>
        <w:tc>
          <w:tcPr>
            <w:tcW w:w="4278" w:type="dxa"/>
            <w:gridSpan w:val="3"/>
            <w:tcBorders>
              <w:top w:val="single" w:color="auto" w:sz="4" w:space="0"/>
              <w:left w:val="single" w:color="auto" w:sz="4" w:space="0"/>
              <w:bottom w:val="single" w:color="auto" w:sz="4" w:space="0"/>
            </w:tcBorders>
            <w:shd w:val="clear" w:color="auto" w:fill="auto"/>
          </w:tcPr>
          <w:p w:rsidRPr="00823410" w:rsidR="00C77882" w:rsidP="00452D66" w:rsidRDefault="00647823" w14:paraId="2872A2ED" w14:textId="734FC180">
            <w:pPr>
              <w:ind w:left="57" w:right="57"/>
              <w:jc w:val="both"/>
            </w:pPr>
            <w:r>
              <w:lastRenderedPageBreak/>
              <w:t xml:space="preserve">Svītrots projekta 11., </w:t>
            </w:r>
            <w:r w:rsidRPr="009656F5">
              <w:t xml:space="preserve">53. </w:t>
            </w:r>
            <w:r>
              <w:t xml:space="preserve"> un 77. punkts.</w:t>
            </w:r>
          </w:p>
        </w:tc>
      </w:tr>
      <w:tr w:rsidRPr="00823410" w:rsidR="00C77882" w:rsidTr="00982A1C" w14:paraId="6ADA2130"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772773E5" w14:textId="36CF4410">
            <w:pPr>
              <w:ind w:left="360" w:hanging="352"/>
              <w:jc w:val="both"/>
              <w:rPr>
                <w:bCs/>
              </w:rPr>
            </w:pPr>
            <w:r w:rsidRPr="005008E4">
              <w:rPr>
                <w:bCs/>
              </w:rPr>
              <w:t>12.</w:t>
            </w:r>
          </w:p>
        </w:tc>
        <w:tc>
          <w:tcPr>
            <w:tcW w:w="3260" w:type="dxa"/>
            <w:gridSpan w:val="3"/>
            <w:tcBorders>
              <w:left w:val="single" w:color="000000" w:sz="6" w:space="0"/>
              <w:bottom w:val="single" w:color="auto" w:sz="4" w:space="0"/>
              <w:right w:val="single" w:color="000000" w:sz="6" w:space="0"/>
            </w:tcBorders>
            <w:shd w:val="clear" w:color="auto" w:fill="auto"/>
          </w:tcPr>
          <w:p w:rsidR="00D26D0D" w:rsidP="00D26D0D" w:rsidRDefault="00D26D0D" w14:paraId="0B262DEB" w14:textId="77777777">
            <w:pPr>
              <w:jc w:val="both"/>
            </w:pPr>
            <w:r>
              <w:t xml:space="preserve">11. Par Inspekcijas lēmumu pretendentam tiek paziņots </w:t>
            </w:r>
            <w:r>
              <w:lastRenderedPageBreak/>
              <w:t>Eiropas Savienības Dzelzceļu aģentūras kontaktpunktā. Vienotais drošības sertifikāts tiek publiskots Eiropas Savienības Dzelzceļu aģentūras datubāzē.</w:t>
            </w:r>
          </w:p>
          <w:p w:rsidR="00D26D0D" w:rsidP="00D26D0D" w:rsidRDefault="00D26D0D" w14:paraId="52BC4126" w14:textId="77777777">
            <w:pPr>
              <w:jc w:val="both"/>
            </w:pPr>
          </w:p>
          <w:p w:rsidRPr="00823410" w:rsidR="00C77882" w:rsidP="00D26D0D" w:rsidRDefault="00D26D0D" w14:paraId="3F961D7D" w14:textId="1B1C322A">
            <w:pPr>
              <w:jc w:val="both"/>
            </w:pPr>
            <w:r>
              <w:t>12. Inspekcija divu nedēļu laikā pēc lēmuma par vienotā drošības sertifikāta izdošanu, atjaunošanu, grozīšanu vai atsaukšanu pieņemšanas par to paziņo Eiropas Savienības Dzelzceļu aģentūrai, norādot komersanta nosaukumu, adresi, vienotā drošības sertifikāta izdošanas datumu, tipu, apjomu, derīguma termiņu un darbības telpu, bet atsaukšanas gadījumā arī lēmuma pamatojumu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9656F5" w:rsidP="009656F5" w:rsidRDefault="009656F5" w14:paraId="70EBB61F" w14:textId="77777777">
            <w:pPr>
              <w:jc w:val="both"/>
            </w:pPr>
            <w:r w:rsidRPr="009656F5">
              <w:lastRenderedPageBreak/>
              <w:t xml:space="preserve">APL 70. panta pirmā daļa paredz, ka administratīvais akts stājas spēkā ar brīdi, </w:t>
            </w:r>
            <w:r w:rsidRPr="009656F5">
              <w:lastRenderedPageBreak/>
              <w:t>kad tas paziņots adresātam. Savukārt no projekta 11. punktā paredzētā regulējuma neizriet, ka lēmumu paziņo tā adresātam, proti, projekta 11. punktā norādīts, ka par Inspekcijas lēmumu tiek paziņots pretendentam. Vienlaikus vēršam uzmanību uz to, ka Likuma 34.</w:t>
            </w:r>
            <w:r w:rsidRPr="009656F5">
              <w:rPr>
                <w:vertAlign w:val="superscript"/>
              </w:rPr>
              <w:t>1</w:t>
            </w:r>
            <w:r w:rsidRPr="009656F5">
              <w:t xml:space="preserve"> panta sestā daļa paredz, ka iesniegumu un dokumentu iesniegšana, visas informācijas pieprasīšana un aprite, kā arī lēmumu paziņošana pretendentam notiek, izmantojot Eiropas Savienības Dzelzceļu aģentūras kontaktpunktu. Turklāt nav saprotams, kādēļ vienoto drošības sertifikātu nesaņem attiecīgā persona, bet tas tiek publiskots Eiropas Savienības Dzelzceļu aģentūras datubāzē.</w:t>
            </w:r>
          </w:p>
          <w:p w:rsidRPr="009656F5" w:rsidR="009F1AAF" w:rsidP="009656F5" w:rsidRDefault="009656F5" w14:paraId="7CF623A4" w14:textId="1DB6B05C">
            <w:pPr>
              <w:jc w:val="both"/>
            </w:pPr>
            <w:r w:rsidRPr="009656F5">
              <w:t>Papildus vēršam uzmanību uz to, ka, ievērojot projekta 11. punktā paredzēto regulējumu, nav skaidrs, kādēļ nepieciešams projekta 12. punktā paredzētais regulējums. Ņemot vērā minēto, lūdzam izvērtēt projekta 11. un 12. punktā paredzēto regulējumu un precizēt to, kā arī papildināt projekta anotāciju ar atbilstošu skaidrojumu.</w:t>
            </w:r>
          </w:p>
        </w:tc>
        <w:tc>
          <w:tcPr>
            <w:tcW w:w="2126" w:type="dxa"/>
            <w:tcBorders>
              <w:left w:val="single" w:color="000000" w:sz="6" w:space="0"/>
              <w:bottom w:val="single" w:color="auto" w:sz="4" w:space="0"/>
              <w:right w:val="single" w:color="000000" w:sz="6" w:space="0"/>
            </w:tcBorders>
            <w:shd w:val="clear" w:color="auto" w:fill="auto"/>
          </w:tcPr>
          <w:p w:rsidR="00A92A04" w:rsidP="00A92A04" w:rsidRDefault="00E77CD8" w14:paraId="18F30604" w14:textId="77777777">
            <w:pPr>
              <w:ind w:left="57" w:right="57"/>
              <w:jc w:val="center"/>
              <w:rPr>
                <w:b/>
              </w:rPr>
            </w:pPr>
            <w:r>
              <w:rPr>
                <w:b/>
              </w:rPr>
              <w:lastRenderedPageBreak/>
              <w:t xml:space="preserve">Panākta vienošanās </w:t>
            </w:r>
            <w:r>
              <w:rPr>
                <w:b/>
              </w:rPr>
              <w:lastRenderedPageBreak/>
              <w:t xml:space="preserve">saskaņošanas </w:t>
            </w:r>
            <w:r w:rsidR="00A92A04">
              <w:rPr>
                <w:b/>
              </w:rPr>
              <w:t>laik</w:t>
            </w:r>
            <w:r>
              <w:rPr>
                <w:b/>
              </w:rPr>
              <w:t>ā.</w:t>
            </w:r>
            <w:r w:rsidR="00D26D0D">
              <w:rPr>
                <w:b/>
              </w:rPr>
              <w:t xml:space="preserve"> </w:t>
            </w:r>
          </w:p>
          <w:p w:rsidR="00A92A04" w:rsidP="00A92A04" w:rsidRDefault="00A92A04" w14:paraId="663FBA79" w14:textId="77777777">
            <w:pPr>
              <w:ind w:left="57" w:right="57"/>
              <w:jc w:val="center"/>
              <w:rPr>
                <w:b/>
              </w:rPr>
            </w:pPr>
          </w:p>
          <w:p w:rsidR="00D26D0D" w:rsidP="00E239FF" w:rsidRDefault="00A92A04" w14:paraId="59442707" w14:textId="618D08AD">
            <w:pPr>
              <w:ind w:left="57" w:right="57"/>
              <w:jc w:val="both"/>
            </w:pPr>
            <w:r>
              <w:t xml:space="preserve">Svītrots projekta </w:t>
            </w:r>
            <w:r w:rsidR="00D26D0D">
              <w:t>11.punkts</w:t>
            </w:r>
            <w:r w:rsidRPr="00E12258" w:rsidR="00D26D0D">
              <w:t xml:space="preserve">, skat. arī </w:t>
            </w:r>
            <w:r w:rsidR="00E239FF">
              <w:t xml:space="preserve">izziņas </w:t>
            </w:r>
            <w:r w:rsidRPr="00E12258" w:rsidR="00D26D0D">
              <w:t>1</w:t>
            </w:r>
            <w:r w:rsidR="00647823">
              <w:t>1</w:t>
            </w:r>
            <w:r w:rsidRPr="00E12258" w:rsidR="00D26D0D">
              <w:t>. un 23.</w:t>
            </w:r>
            <w:r w:rsidR="00E239FF">
              <w:t>punktu.</w:t>
            </w:r>
          </w:p>
          <w:p w:rsidR="00C77882" w:rsidP="00D26D0D" w:rsidRDefault="00C77882" w14:paraId="39599CF5" w14:textId="77777777">
            <w:pPr>
              <w:autoSpaceDE w:val="0"/>
              <w:autoSpaceDN w:val="0"/>
              <w:adjustRightInd w:val="0"/>
              <w:jc w:val="both"/>
            </w:pPr>
          </w:p>
          <w:p w:rsidRPr="009D7C7B" w:rsidR="009D7C7B" w:rsidP="009D7C7B" w:rsidRDefault="00E12258" w14:paraId="09C2459D" w14:textId="5D4BB543">
            <w:pPr>
              <w:autoSpaceDE w:val="0"/>
              <w:autoSpaceDN w:val="0"/>
              <w:adjustRightInd w:val="0"/>
              <w:jc w:val="both"/>
            </w:pPr>
            <w:r>
              <w:t>Teksts jāpārņem atbilstoši</w:t>
            </w:r>
            <w:r w:rsidRPr="00D26D0D">
              <w:t xml:space="preserve"> Direktīv</w:t>
            </w:r>
            <w:r>
              <w:t>as</w:t>
            </w:r>
            <w:r w:rsidRPr="00D26D0D">
              <w:t xml:space="preserve"> 2016/798/ES 10.panta 16.punkt</w:t>
            </w:r>
            <w:r>
              <w:t>am, citādi var tikt uzsākta</w:t>
            </w:r>
            <w:r w:rsidRPr="009D7C7B">
              <w:t xml:space="preserve"> pārkāpumu procedūra</w:t>
            </w:r>
            <w:r>
              <w:t>.</w:t>
            </w:r>
          </w:p>
        </w:tc>
        <w:tc>
          <w:tcPr>
            <w:tcW w:w="4278" w:type="dxa"/>
            <w:gridSpan w:val="3"/>
            <w:tcBorders>
              <w:top w:val="single" w:color="auto" w:sz="4" w:space="0"/>
              <w:left w:val="single" w:color="auto" w:sz="4" w:space="0"/>
              <w:bottom w:val="single" w:color="auto" w:sz="4" w:space="0"/>
            </w:tcBorders>
            <w:shd w:val="clear" w:color="auto" w:fill="auto"/>
          </w:tcPr>
          <w:p w:rsidRPr="00823410" w:rsidR="00D26D0D" w:rsidP="00C42EF2" w:rsidRDefault="00D26D0D" w14:paraId="7CF55566" w14:textId="3956AFF0">
            <w:pPr>
              <w:ind w:left="57" w:right="57"/>
              <w:jc w:val="both"/>
            </w:pPr>
            <w:r w:rsidRPr="00B95778">
              <w:lastRenderedPageBreak/>
              <w:t>1</w:t>
            </w:r>
            <w:r w:rsidRPr="00B95778" w:rsidR="00C42EF2">
              <w:t>1</w:t>
            </w:r>
            <w:r w:rsidRPr="00B95778">
              <w:t>.</w:t>
            </w:r>
            <w:r>
              <w:t xml:space="preserve"> Inspekcija divu nedēļu laikā pēc lēmuma par vienotā drošības sertifikāta </w:t>
            </w:r>
            <w:r>
              <w:lastRenderedPageBreak/>
              <w:t>izdošanu, atjaunošanu, grozīšanu vai atsaukšanu pieņemšanas par to paziņo Eiropas Savienības Dzelzceļu aģentūrai, norādot komersanta nosaukumu, adresi, vienotā drošības sertifikāta izdošanas datumu, tipu, apjomu, derīguma termiņu un darbības telpu, bet atsaukšanas gadījumā arī lēmuma pamatojumu</w:t>
            </w:r>
            <w:r w:rsidR="00AE0281">
              <w:t>.</w:t>
            </w:r>
          </w:p>
        </w:tc>
      </w:tr>
      <w:tr w:rsidRPr="00823410" w:rsidR="00C77882" w:rsidTr="00982A1C" w14:paraId="323548D3"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52D88245" w14:textId="3DE734C0">
            <w:pPr>
              <w:ind w:left="360" w:hanging="352"/>
              <w:jc w:val="both"/>
              <w:rPr>
                <w:bCs/>
              </w:rPr>
            </w:pPr>
            <w:r w:rsidRPr="005008E4">
              <w:rPr>
                <w:bCs/>
              </w:rPr>
              <w:lastRenderedPageBreak/>
              <w:t>13.</w:t>
            </w:r>
          </w:p>
        </w:tc>
        <w:tc>
          <w:tcPr>
            <w:tcW w:w="3260" w:type="dxa"/>
            <w:gridSpan w:val="3"/>
            <w:tcBorders>
              <w:left w:val="single" w:color="000000" w:sz="6" w:space="0"/>
              <w:bottom w:val="single" w:color="auto" w:sz="4" w:space="0"/>
              <w:right w:val="single" w:color="000000" w:sz="6" w:space="0"/>
            </w:tcBorders>
            <w:shd w:val="clear" w:color="auto" w:fill="auto"/>
          </w:tcPr>
          <w:p w:rsidRPr="008F67C8" w:rsidR="008F67C8" w:rsidP="008F67C8" w:rsidRDefault="008F67C8" w14:paraId="050CBED6" w14:textId="77777777">
            <w:pPr>
              <w:jc w:val="both"/>
            </w:pPr>
            <w:r w:rsidRPr="008F67C8">
              <w:t xml:space="preserve">13. Ja pārvadātājs vai manevru darba veicējs būtiski maina savu darbības veidu vai darbības apjomu tā, ka šīs </w:t>
            </w:r>
            <w:r w:rsidRPr="008F67C8">
              <w:lastRenderedPageBreak/>
              <w:t>izmaiņas maina iepriekš izdotā vienotā drošības sertifikāta nosacījumus, tas iesniedz pieteikumu vienotā drošības sertifikāta grozīšanai. Šim pieteikumam pievieno apliecinājumu, ka minētās izmaiņas riska pārvaldības process ir īstenots atbilstīgi kopīgajai drošības metodei riska noteikšanai un izvērtēšanai.</w:t>
            </w:r>
          </w:p>
          <w:p w:rsidRPr="008F67C8" w:rsidR="008F67C8" w:rsidP="008F67C8" w:rsidRDefault="008F67C8" w14:paraId="5501BABC" w14:textId="77777777">
            <w:pPr>
              <w:jc w:val="both"/>
            </w:pPr>
          </w:p>
          <w:p w:rsidRPr="00823410" w:rsidR="00C77882" w:rsidP="008F67C8" w:rsidRDefault="008F67C8" w14:paraId="570A843B" w14:textId="3E659178">
            <w:pPr>
              <w:jc w:val="both"/>
            </w:pPr>
            <w:r w:rsidRPr="008F67C8">
              <w:t>14. Ja tieši piemērojamie Eiropas Savienības tiesību akti vai nacionālās prasības būtiski maina vienotā drošības sertifikāta nosacījumus, pēc Inspekcijas pieprasījuma pārvadātājs vai manevru darbu veicējs iesniedz pieteikumu vienotā drošības sertifikāta atjaunošanai neatkarīgi no esošā vienotā drošības sertifikāta derīguma termiņa.</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9F1AAF" w:rsidP="009656F5" w:rsidRDefault="009656F5" w14:paraId="497FAC3E" w14:textId="1BA5C328">
            <w:pPr>
              <w:jc w:val="both"/>
            </w:pPr>
            <w:r w:rsidRPr="009656F5">
              <w:lastRenderedPageBreak/>
              <w:t>Lūdzam precizēt projekta 13. un 14. punktā paredzēto regulējumu atbilstoši Likuma 34.</w:t>
            </w:r>
            <w:r w:rsidRPr="009656F5">
              <w:rPr>
                <w:vertAlign w:val="superscript"/>
              </w:rPr>
              <w:t>1</w:t>
            </w:r>
            <w:r w:rsidRPr="009656F5">
              <w:t xml:space="preserve"> pantā paredzētajam regulējumam par iesnieguma par vienotā </w:t>
            </w:r>
            <w:r w:rsidRPr="009656F5">
              <w:lastRenderedPageBreak/>
              <w:t>drošības sertifikāta saņemšanu, vienlaikus nedublējot Likuma 34.</w:t>
            </w:r>
            <w:r w:rsidRPr="009656F5">
              <w:rPr>
                <w:vertAlign w:val="superscript"/>
              </w:rPr>
              <w:t>1</w:t>
            </w:r>
            <w:r w:rsidRPr="009656F5">
              <w:t xml:space="preserve"> panta vienpadsmitajā daļā paredzēto regulējumu.</w:t>
            </w:r>
          </w:p>
        </w:tc>
        <w:tc>
          <w:tcPr>
            <w:tcW w:w="2126" w:type="dxa"/>
            <w:tcBorders>
              <w:left w:val="single" w:color="000000" w:sz="6" w:space="0"/>
              <w:bottom w:val="single" w:color="auto" w:sz="4" w:space="0"/>
              <w:right w:val="single" w:color="000000" w:sz="6" w:space="0"/>
            </w:tcBorders>
            <w:shd w:val="clear" w:color="auto" w:fill="auto"/>
          </w:tcPr>
          <w:p w:rsidR="00C77882" w:rsidP="008D73E9" w:rsidRDefault="00FD5A1B" w14:paraId="1F78D521" w14:textId="77777777">
            <w:pPr>
              <w:autoSpaceDE w:val="0"/>
              <w:autoSpaceDN w:val="0"/>
              <w:adjustRightInd w:val="0"/>
              <w:jc w:val="center"/>
              <w:rPr>
                <w:b/>
              </w:rPr>
            </w:pPr>
            <w:r w:rsidRPr="00FD5A1B">
              <w:rPr>
                <w:b/>
              </w:rPr>
              <w:lastRenderedPageBreak/>
              <w:t>Ņemts vērā.</w:t>
            </w:r>
          </w:p>
          <w:p w:rsidRPr="00823410" w:rsidR="00C42EF2" w:rsidP="008D73E9" w:rsidRDefault="00C42EF2" w14:paraId="41FF9413" w14:textId="799513F3">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008F67C8" w:rsidP="00C42EF2" w:rsidRDefault="008F67C8" w14:paraId="79E729BB" w14:textId="3F830569">
            <w:pPr>
              <w:jc w:val="both"/>
            </w:pPr>
            <w:r w:rsidRPr="00B95778">
              <w:t>1</w:t>
            </w:r>
            <w:r w:rsidRPr="00B95778" w:rsidR="00C42EF2">
              <w:t>2</w:t>
            </w:r>
            <w:r w:rsidRPr="00B95778">
              <w:t>. Ja pārvadātājs vai manevru darba veicējs veic Dzelzceļa likuma 34.</w:t>
            </w:r>
            <w:r w:rsidRPr="00B95778">
              <w:rPr>
                <w:vertAlign w:val="superscript"/>
              </w:rPr>
              <w:t>1</w:t>
            </w:r>
            <w:r w:rsidRPr="00B95778">
              <w:t xml:space="preserve"> panta vienpadsmitajā daļā minētās izmaiņas un šīs </w:t>
            </w:r>
            <w:r w:rsidRPr="00DB45F0">
              <w:t xml:space="preserve">izmaiņas maina iepriekš izdotā vienotā </w:t>
            </w:r>
            <w:r w:rsidRPr="00DB45F0">
              <w:lastRenderedPageBreak/>
              <w:t xml:space="preserve">drošības sertifikāta nosacījumus, tas iesniedz </w:t>
            </w:r>
            <w:r w:rsidRPr="00DB45F0" w:rsidR="00B95778">
              <w:t>iesniegumu</w:t>
            </w:r>
            <w:r w:rsidRPr="00DB45F0">
              <w:t xml:space="preserve"> vienotā drošības sertifikāta grozīšanai. Šim </w:t>
            </w:r>
            <w:r w:rsidRPr="00DB45F0" w:rsidR="00B95778">
              <w:t>iesniegumam</w:t>
            </w:r>
            <w:r w:rsidRPr="00DB45F0">
              <w:t xml:space="preserve"> pievieno apliecinājumu, ka minētās izmaiņas riska pārvaldības process</w:t>
            </w:r>
            <w:r w:rsidRPr="00C97F58">
              <w:t xml:space="preserve"> ir īstenots atbilstīgi kopīgajai drošības metodei ris</w:t>
            </w:r>
            <w:r>
              <w:t>ka noteikšanai un izvērtēšanai.</w:t>
            </w:r>
          </w:p>
          <w:p w:rsidRPr="00C97F58" w:rsidR="008F67C8" w:rsidP="008F67C8" w:rsidRDefault="008F67C8" w14:paraId="3438F4F4" w14:textId="77777777">
            <w:pPr>
              <w:ind w:firstLine="851"/>
              <w:jc w:val="both"/>
            </w:pPr>
          </w:p>
          <w:p w:rsidRPr="00823410" w:rsidR="00C77882" w:rsidP="00B95778" w:rsidRDefault="008F67C8" w14:paraId="04E076AC" w14:textId="07E65057">
            <w:pPr>
              <w:ind w:left="57" w:right="57"/>
              <w:jc w:val="both"/>
            </w:pPr>
            <w:r w:rsidRPr="00B95778">
              <w:t>1</w:t>
            </w:r>
            <w:r w:rsidRPr="00B95778" w:rsidR="00C42EF2">
              <w:t>3</w:t>
            </w:r>
            <w:r w:rsidRPr="00B95778">
              <w:t>. Ja grozījumi tieši piemērojamos Eiropas Savienības tiesību aktos vai nacionālajās prasībās maina vienotā drošības sertifikāta izdošanas nosacījumus, pēc Inspekcijas pieprasījuma</w:t>
            </w:r>
            <w:r w:rsidRPr="00C97F58">
              <w:t xml:space="preserve"> pārvadātājs vai manevru darbu veicējs iesniedz </w:t>
            </w:r>
            <w:r w:rsidRPr="00536990" w:rsidR="00B95778">
              <w:rPr>
                <w:bCs/>
              </w:rPr>
              <w:t>iesniegumu</w:t>
            </w:r>
            <w:r w:rsidRPr="00B95778">
              <w:rPr>
                <w:b/>
              </w:rPr>
              <w:t xml:space="preserve"> </w:t>
            </w:r>
            <w:r w:rsidRPr="00C97F58">
              <w:t>vienotā d</w:t>
            </w:r>
            <w:r>
              <w:t>rošības sertifikāta atjaunošanai</w:t>
            </w:r>
            <w:r w:rsidRPr="00C97F58">
              <w:t xml:space="preserve"> neatkarīgi no esošā vienotā drošības sertifikāta derīguma termiņa.</w:t>
            </w:r>
          </w:p>
        </w:tc>
      </w:tr>
      <w:tr w:rsidRPr="00823410" w:rsidR="00C77882" w:rsidTr="00982A1C" w14:paraId="5110115E"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68DF670F" w14:textId="02DD560A">
            <w:pPr>
              <w:ind w:left="360" w:hanging="352"/>
              <w:jc w:val="both"/>
              <w:rPr>
                <w:bCs/>
              </w:rPr>
            </w:pPr>
            <w:r w:rsidRPr="005008E4">
              <w:rPr>
                <w:bCs/>
              </w:rPr>
              <w:lastRenderedPageBreak/>
              <w:t>14.</w:t>
            </w:r>
          </w:p>
        </w:tc>
        <w:tc>
          <w:tcPr>
            <w:tcW w:w="3260" w:type="dxa"/>
            <w:gridSpan w:val="3"/>
            <w:tcBorders>
              <w:left w:val="single" w:color="000000" w:sz="6" w:space="0"/>
              <w:bottom w:val="single" w:color="auto" w:sz="4" w:space="0"/>
              <w:right w:val="single" w:color="000000" w:sz="6" w:space="0"/>
            </w:tcBorders>
            <w:shd w:val="clear" w:color="auto" w:fill="auto"/>
          </w:tcPr>
          <w:p w:rsidR="008F67C8" w:rsidP="008F67C8" w:rsidRDefault="008F67C8" w14:paraId="1E0848B6" w14:textId="77777777">
            <w:pPr>
              <w:jc w:val="both"/>
              <w:rPr>
                <w:i/>
              </w:rPr>
            </w:pPr>
            <w:r>
              <w:t xml:space="preserve">15. Pēc vienotā drošības </w:t>
            </w:r>
            <w:r w:rsidRPr="00913679">
              <w:t xml:space="preserve">sertifikāta </w:t>
            </w:r>
            <w:r>
              <w:t>izdošanas</w:t>
            </w:r>
            <w:r w:rsidRPr="00913679">
              <w:t xml:space="preserve"> pārvadātāju un manevru darba veicēju uzraudzībai Inspekcija izmanto tās rīcībā esošo </w:t>
            </w:r>
            <w:r w:rsidRPr="00913679">
              <w:lastRenderedPageBreak/>
              <w:t xml:space="preserve">informāciju, kā arī Eiropas Savienības Dzelzceļu aģentūras </w:t>
            </w:r>
            <w:r>
              <w:t>iegūto</w:t>
            </w:r>
            <w:r w:rsidRPr="00913679">
              <w:t xml:space="preserve"> drošības pārv</w:t>
            </w:r>
            <w:r>
              <w:t>aldības sistēmas dokumentāciju.</w:t>
            </w:r>
          </w:p>
          <w:p w:rsidRPr="00823410" w:rsidR="00C77882" w:rsidP="00F37F80" w:rsidRDefault="00C77882" w14:paraId="5D818A6E" w14:textId="794535F0">
            <w:pPr>
              <w:jc w:val="both"/>
            </w:pP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4DA891F3" w14:textId="2B76A066">
            <w:pPr>
              <w:jc w:val="both"/>
            </w:pPr>
            <w:r w:rsidRPr="009656F5">
              <w:lastRenderedPageBreak/>
              <w:t xml:space="preserve">Lūdzam skaidrot projekta 15. punkta juridisko slodzi, jo fakts, ka Inspekcija izmanto tās rīcībā esošo informāciju, ir pašsaprotams. Ja minēto skaidrojumu nav </w:t>
            </w:r>
            <w:r w:rsidRPr="009656F5">
              <w:lastRenderedPageBreak/>
              <w:t>iespējams sniegt, lūdzam svītrot projekta 15. punktu.</w:t>
            </w:r>
          </w:p>
        </w:tc>
        <w:tc>
          <w:tcPr>
            <w:tcW w:w="2126" w:type="dxa"/>
            <w:tcBorders>
              <w:left w:val="single" w:color="000000" w:sz="6" w:space="0"/>
              <w:bottom w:val="single" w:color="auto" w:sz="4" w:space="0"/>
              <w:right w:val="single" w:color="000000" w:sz="6" w:space="0"/>
            </w:tcBorders>
            <w:shd w:val="clear" w:color="auto" w:fill="auto"/>
          </w:tcPr>
          <w:p w:rsidR="006F40E9" w:rsidP="00B2074B" w:rsidRDefault="00E77CD8" w14:paraId="0C15F0B1" w14:textId="78F36FA0">
            <w:pPr>
              <w:autoSpaceDE w:val="0"/>
              <w:autoSpaceDN w:val="0"/>
              <w:adjustRightInd w:val="0"/>
              <w:jc w:val="center"/>
              <w:rPr>
                <w:b/>
              </w:rPr>
            </w:pPr>
            <w:r>
              <w:rPr>
                <w:b/>
              </w:rPr>
              <w:lastRenderedPageBreak/>
              <w:t xml:space="preserve">Panākta vienošanās saskaņošanas </w:t>
            </w:r>
            <w:r w:rsidR="00B2074B">
              <w:rPr>
                <w:b/>
              </w:rPr>
              <w:t>laik</w:t>
            </w:r>
            <w:r>
              <w:rPr>
                <w:b/>
              </w:rPr>
              <w:t>ā.</w:t>
            </w:r>
          </w:p>
          <w:p w:rsidRPr="00FD5A1B" w:rsidR="009D7C7B" w:rsidP="00E12258" w:rsidRDefault="00E12258" w14:paraId="56F3F802" w14:textId="3B755141">
            <w:pPr>
              <w:autoSpaceDE w:val="0"/>
              <w:autoSpaceDN w:val="0"/>
              <w:adjustRightInd w:val="0"/>
              <w:jc w:val="both"/>
              <w:rPr>
                <w:b/>
              </w:rPr>
            </w:pPr>
            <w:r>
              <w:lastRenderedPageBreak/>
              <w:t>Teksts jāpārņem atbilstoši</w:t>
            </w:r>
            <w:r w:rsidRPr="00D26D0D" w:rsidR="008F67C8">
              <w:t xml:space="preserve"> Direktīv</w:t>
            </w:r>
            <w:r>
              <w:t>as</w:t>
            </w:r>
            <w:r w:rsidRPr="00D26D0D" w:rsidR="008F67C8">
              <w:t xml:space="preserve"> 2016/798/ES 10.panta 16.punkt</w:t>
            </w:r>
            <w:r>
              <w:t>am, citādi var tikt uzsākta</w:t>
            </w:r>
            <w:r w:rsidRPr="009D7C7B" w:rsidR="009D7C7B">
              <w:t xml:space="preserve"> pārkāpumu procedūra</w:t>
            </w:r>
            <w:r>
              <w:t>.</w:t>
            </w:r>
          </w:p>
        </w:tc>
        <w:tc>
          <w:tcPr>
            <w:tcW w:w="4278" w:type="dxa"/>
            <w:gridSpan w:val="3"/>
            <w:tcBorders>
              <w:top w:val="single" w:color="auto" w:sz="4" w:space="0"/>
              <w:left w:val="single" w:color="auto" w:sz="4" w:space="0"/>
              <w:bottom w:val="single" w:color="auto" w:sz="4" w:space="0"/>
            </w:tcBorders>
            <w:shd w:val="clear" w:color="auto" w:fill="auto"/>
          </w:tcPr>
          <w:p w:rsidR="008F67C8" w:rsidP="008F67C8" w:rsidRDefault="008F67C8" w14:paraId="3EDA4183" w14:textId="2246828C">
            <w:pPr>
              <w:jc w:val="both"/>
              <w:rPr>
                <w:i/>
              </w:rPr>
            </w:pPr>
            <w:r w:rsidRPr="00B95778">
              <w:lastRenderedPageBreak/>
              <w:t>1</w:t>
            </w:r>
            <w:r w:rsidRPr="00B95778" w:rsidR="00C42EF2">
              <w:t>4</w:t>
            </w:r>
            <w:r w:rsidRPr="00B95778">
              <w:t>.</w:t>
            </w:r>
            <w:r>
              <w:t xml:space="preserve"> Pēc vienotā drošības </w:t>
            </w:r>
            <w:r w:rsidRPr="00913679">
              <w:t xml:space="preserve">sertifikāta </w:t>
            </w:r>
            <w:r>
              <w:t>izdošanas</w:t>
            </w:r>
            <w:r w:rsidRPr="00913679">
              <w:t xml:space="preserve"> pārvadātāju un manevru darba veicēju uzraudzībai Inspekcija izmanto tās rīcībā esošo informāciju, kā arī Eiropas Savienības Dzelzceļu aģentūras </w:t>
            </w:r>
            <w:r>
              <w:t>iegūto</w:t>
            </w:r>
            <w:r w:rsidRPr="00913679">
              <w:t xml:space="preserve"> </w:t>
            </w:r>
            <w:r w:rsidRPr="00913679">
              <w:lastRenderedPageBreak/>
              <w:t>drošības pārv</w:t>
            </w:r>
            <w:r>
              <w:t>aldības sistēmas dokumentāciju.</w:t>
            </w:r>
          </w:p>
          <w:p w:rsidRPr="009010EB" w:rsidR="00F761B9" w:rsidP="009656F5" w:rsidRDefault="00F761B9" w14:paraId="687E51AC" w14:textId="0B541997">
            <w:pPr>
              <w:ind w:left="57" w:right="57"/>
              <w:jc w:val="both"/>
              <w:rPr>
                <w:i/>
              </w:rPr>
            </w:pPr>
          </w:p>
        </w:tc>
      </w:tr>
      <w:tr w:rsidRPr="00823410" w:rsidR="00C77882" w:rsidTr="00982A1C" w14:paraId="2C0B9D2E"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4BD838EF" w14:textId="16C77720">
            <w:pPr>
              <w:ind w:left="360" w:hanging="352"/>
              <w:jc w:val="both"/>
              <w:rPr>
                <w:bCs/>
              </w:rPr>
            </w:pPr>
            <w:r w:rsidRPr="005008E4">
              <w:rPr>
                <w:bCs/>
              </w:rPr>
              <w:lastRenderedPageBreak/>
              <w:t>15.</w:t>
            </w:r>
          </w:p>
        </w:tc>
        <w:tc>
          <w:tcPr>
            <w:tcW w:w="3260" w:type="dxa"/>
            <w:gridSpan w:val="3"/>
            <w:tcBorders>
              <w:left w:val="single" w:color="000000" w:sz="6" w:space="0"/>
              <w:bottom w:val="single" w:color="auto" w:sz="4" w:space="0"/>
              <w:right w:val="single" w:color="000000" w:sz="6" w:space="0"/>
            </w:tcBorders>
            <w:shd w:val="clear" w:color="auto" w:fill="auto"/>
          </w:tcPr>
          <w:p w:rsidR="00466041" w:rsidP="00466041" w:rsidRDefault="00466041" w14:paraId="26212C1B" w14:textId="77777777">
            <w:pPr>
              <w:jc w:val="both"/>
            </w:pPr>
            <w:r>
              <w:t>17. Ja Inspekcija izdevusi vienoto drošības sertifikātu, tā pieņem lēmumu atsaukt vienoto drošības sertifikātu vai ierobežot tā darbību</w:t>
            </w:r>
            <w:r w:rsidRPr="00913679">
              <w:t>, ja vienotā drošības sertifikāta turētājs:</w:t>
            </w:r>
          </w:p>
          <w:p w:rsidR="00466041" w:rsidP="00466041" w:rsidRDefault="00466041" w14:paraId="61A5CDDD" w14:textId="77777777">
            <w:pPr>
              <w:jc w:val="both"/>
            </w:pPr>
            <w:r>
              <w:t>17.1. sniedzis nepatiesas ziņas</w:t>
            </w:r>
            <w:r w:rsidRPr="0077470D">
              <w:t xml:space="preserve"> vai slēpis būtiskus faktus</w:t>
            </w:r>
            <w:r>
              <w:t>;</w:t>
            </w:r>
          </w:p>
          <w:p w:rsidR="00466041" w:rsidP="00466041" w:rsidRDefault="00466041" w14:paraId="30D7911F" w14:textId="77777777">
            <w:pPr>
              <w:jc w:val="both"/>
            </w:pPr>
            <w:r w:rsidRPr="005F0D6A">
              <w:t>1</w:t>
            </w:r>
            <w:r>
              <w:t>7.2</w:t>
            </w:r>
            <w:r w:rsidRPr="005F0D6A">
              <w:t>. trīs mēnešu laikā nav veicis nekādas darbības Dzelzceļa likumā minēto pagaidu drošības pasākumu piemērošanas atcelšanai;</w:t>
            </w:r>
          </w:p>
          <w:p w:rsidR="00C77882" w:rsidP="00466041" w:rsidRDefault="00466041" w14:paraId="1FE3334B" w14:textId="77777777">
            <w:pPr>
              <w:jc w:val="both"/>
            </w:pPr>
            <w:r>
              <w:t>17.3. izbeidzis savu darbību kā pārvadātājs vai manevru darbu veicējs.</w:t>
            </w:r>
          </w:p>
          <w:p w:rsidRPr="00823410" w:rsidR="008B4B79" w:rsidP="00466041" w:rsidRDefault="005F677B" w14:paraId="410D116D" w14:textId="6F29B827">
            <w:pPr>
              <w:jc w:val="both"/>
            </w:pPr>
            <w:r>
              <w:rPr>
                <w:rFonts w:eastAsia="Calibri"/>
              </w:rPr>
              <w:t>44</w:t>
            </w:r>
            <w:r w:rsidRPr="00F80F2B">
              <w:rPr>
                <w:rFonts w:eastAsia="Calibri"/>
              </w:rPr>
              <w:t xml:space="preserve">. Ja Inspekcija konstatē, ka komersants vairs neatbilst prasībām, uz kuru pamata tika izdota drošības apliecība, tā atkarībā no neatbilstības </w:t>
            </w:r>
            <w:r w:rsidRPr="00F80F2B">
              <w:rPr>
                <w:rFonts w:eastAsia="Calibri"/>
              </w:rPr>
              <w:lastRenderedPageBreak/>
              <w:t>pakāpes vienojas ar komersantu par neatbilstību novēršanas plānu. Ja Inspekcija uzraudzības laikā konstatē nopietnu drošības risku, tā drīkst piemērot pagaidu drošības pasākumus, tostarp nekavējoties ierobežot vai apturēt attiecīgās darbības.</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9656F5" w:rsidP="009656F5" w:rsidRDefault="009656F5" w14:paraId="6983749B" w14:textId="77777777">
            <w:pPr>
              <w:jc w:val="both"/>
            </w:pPr>
            <w:r w:rsidRPr="009656F5">
              <w:lastRenderedPageBreak/>
              <w:t>Ievērojot, ka Likuma 34.</w:t>
            </w:r>
            <w:r w:rsidRPr="009656F5">
              <w:rPr>
                <w:vertAlign w:val="superscript"/>
              </w:rPr>
              <w:t>1</w:t>
            </w:r>
            <w:r w:rsidRPr="009656F5">
              <w:t xml:space="preserve"> panta piektajā daļā ir minēta vienotā drošības sertifikāta atsaukšana, bet nav minēta vienotā drošības sertifikāta darbības ierobežošana, lūdzam precizēt projekta 17. punkta ievaddaļā noteikto.</w:t>
            </w:r>
          </w:p>
          <w:p w:rsidRPr="009656F5" w:rsidR="009656F5" w:rsidP="009656F5" w:rsidRDefault="009656F5" w14:paraId="731D47E1" w14:textId="77777777">
            <w:pPr>
              <w:jc w:val="both"/>
            </w:pPr>
            <w:r w:rsidRPr="009656F5">
              <w:t>Vienlaikus attiecībā uz projekta 17. punkta regulējumu norādām, ka būtu jānošķir, kādos gadījumos Inspekcija atsauc un kādos gadījumos ierobežo sertifikātu. Uzsveram, ka šajā gadījumā varētu tikt pārkāpts vienlīdzības princips, jo Inspekcija vienādos gadījumos varētu pieņemt atšķirīgus lēmumus. Turklāt projekta 17.3. apakšpunktā minētajā gadījumā nemaz nevar ierobežot sertifikāta darbību, jo turētājs ir izbeidzis savu darbību. Ievērojot minēto, lūdzam precizēt projektu</w:t>
            </w:r>
          </w:p>
          <w:p w:rsidRPr="009656F5" w:rsidR="009656F5" w:rsidP="009656F5" w:rsidRDefault="009656F5" w14:paraId="455B8051" w14:textId="77777777">
            <w:pPr>
              <w:jc w:val="both"/>
            </w:pPr>
            <w:r w:rsidRPr="00165736">
              <w:t xml:space="preserve">Tāpat norādām, ka visā projektā, tai skaitā projekta 17.1. apakšpunktā, norādīts uz </w:t>
            </w:r>
            <w:r w:rsidRPr="00165736">
              <w:lastRenderedPageBreak/>
              <w:t>“būtiskiem” faktiem. Lai minētās normas praksē netiktu interpretētas nelabticīgi, lūdzam precizēt vai sniegt skaidrojumu projekta anotācijā, kas uzskatāmi par būtiskiem faktiem. Minētais attiecas arī uz projekta 44. punktā norādīto “nopietno” drošības risku.</w:t>
            </w:r>
          </w:p>
          <w:p w:rsidRPr="009656F5" w:rsidR="00660A31" w:rsidP="009656F5" w:rsidRDefault="009656F5" w14:paraId="2D624BF4" w14:textId="62568DBF">
            <w:pPr>
              <w:jc w:val="both"/>
            </w:pPr>
            <w:r w:rsidRPr="009656F5">
              <w:t>Visbeidzot lūdzam projekta 17.2. apakšpunktā norādīt trīs mēnešu atskaites brīdi, kā arī norādīt atsauci uz konkrētām Likuma normām, lai minētā norma būtu skaidra un nepārprotama. Līdzīgi lūdzam precizēt arī projekta 52.4. un 76.4. apakšpunktu.</w:t>
            </w:r>
          </w:p>
        </w:tc>
        <w:tc>
          <w:tcPr>
            <w:tcW w:w="2126" w:type="dxa"/>
            <w:tcBorders>
              <w:left w:val="single" w:color="000000" w:sz="6" w:space="0"/>
              <w:bottom w:val="single" w:color="auto" w:sz="4" w:space="0"/>
              <w:right w:val="single" w:color="000000" w:sz="6" w:space="0"/>
            </w:tcBorders>
            <w:shd w:val="clear" w:color="auto" w:fill="auto"/>
          </w:tcPr>
          <w:p w:rsidR="00C77882" w:rsidP="00B77A4B" w:rsidRDefault="00FD5A1B" w14:paraId="00E7EFC8" w14:textId="77777777">
            <w:pPr>
              <w:autoSpaceDE w:val="0"/>
              <w:autoSpaceDN w:val="0"/>
              <w:adjustRightInd w:val="0"/>
              <w:jc w:val="center"/>
              <w:rPr>
                <w:b/>
              </w:rPr>
            </w:pPr>
            <w:r w:rsidRPr="00466041">
              <w:rPr>
                <w:b/>
              </w:rPr>
              <w:lastRenderedPageBreak/>
              <w:t>Ņemts vērā.</w:t>
            </w:r>
          </w:p>
          <w:p w:rsidRPr="00C42EF2" w:rsidR="00C42EF2" w:rsidP="00D10753" w:rsidRDefault="00C42EF2" w14:paraId="2F08A2D0" w14:textId="4CCE97F7">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B95778" w:rsidR="00165736" w:rsidP="00165736" w:rsidRDefault="00165736" w14:paraId="6802F810" w14:textId="6E4E9C94">
            <w:pPr>
              <w:ind w:left="57" w:right="57"/>
              <w:jc w:val="both"/>
            </w:pPr>
            <w:r w:rsidRPr="00B95778">
              <w:t>1</w:t>
            </w:r>
            <w:r w:rsidRPr="00B95778" w:rsidR="00C42EF2">
              <w:t>6</w:t>
            </w:r>
            <w:r w:rsidRPr="00B95778">
              <w:t>. Ja Inspekcija izdevusi vienoto drošības sertifikātu, tā pieņem lēmumu atsaukt vienoto drošības sertifikātu, ja vienotā drošības sertifikāta turētājs:</w:t>
            </w:r>
          </w:p>
          <w:p w:rsidRPr="00B95778" w:rsidR="00165736" w:rsidP="00165736" w:rsidRDefault="00165736" w14:paraId="54F37F83" w14:textId="394F480C">
            <w:pPr>
              <w:ind w:left="57" w:right="57"/>
              <w:jc w:val="both"/>
            </w:pPr>
            <w:r w:rsidRPr="00B95778">
              <w:t>1</w:t>
            </w:r>
            <w:r w:rsidRPr="00B95778" w:rsidR="00C42EF2">
              <w:t>6</w:t>
            </w:r>
            <w:r w:rsidRPr="00B95778">
              <w:t>.1. sniedzis nepatiesas ziņas vai slēpis ar dzelzceļa satiksmes drošību saistītu informāciju;</w:t>
            </w:r>
          </w:p>
          <w:p w:rsidRPr="00B95778" w:rsidR="00165736" w:rsidP="00165736" w:rsidRDefault="00165736" w14:paraId="1C6FAE8A" w14:textId="5AABF51F">
            <w:pPr>
              <w:ind w:left="57" w:right="57"/>
              <w:jc w:val="both"/>
            </w:pPr>
            <w:r w:rsidRPr="00B95778">
              <w:t>1</w:t>
            </w:r>
            <w:r w:rsidRPr="00B95778" w:rsidR="00C42EF2">
              <w:t>6</w:t>
            </w:r>
            <w:r w:rsidRPr="00B95778">
              <w:t>.2. trīs mēnešu laikā no Dzelzceļa likumā minēto pagaidu drošības pasākumu piemērošanas brīža nav veicis nekādas darbības to atcelšanai;</w:t>
            </w:r>
          </w:p>
          <w:p w:rsidRPr="00B95778" w:rsidR="00C77882" w:rsidP="00165736" w:rsidRDefault="00165736" w14:paraId="1A5AB5BA" w14:textId="7B777C9A">
            <w:pPr>
              <w:ind w:left="57" w:right="57"/>
              <w:jc w:val="both"/>
            </w:pPr>
            <w:r w:rsidRPr="00B95778">
              <w:t>1</w:t>
            </w:r>
            <w:r w:rsidRPr="00B95778" w:rsidR="00C42EF2">
              <w:t>6</w:t>
            </w:r>
            <w:r w:rsidRPr="00B95778">
              <w:t>.3. izbeidzis savu darbību kā pārvadātājs vai manevru darbu veicējs.</w:t>
            </w:r>
          </w:p>
          <w:p w:rsidRPr="00823410" w:rsidR="005F677B" w:rsidP="00816E6C" w:rsidRDefault="005F677B" w14:paraId="795AD0DD" w14:textId="5DF16044">
            <w:pPr>
              <w:ind w:left="57" w:right="57"/>
              <w:jc w:val="both"/>
            </w:pPr>
            <w:r w:rsidRPr="00B95778">
              <w:rPr>
                <w:rFonts w:eastAsia="Calibri"/>
              </w:rPr>
              <w:t>4</w:t>
            </w:r>
            <w:r w:rsidRPr="00B95778" w:rsidR="00816E6C">
              <w:rPr>
                <w:rFonts w:eastAsia="Calibri"/>
              </w:rPr>
              <w:t>1</w:t>
            </w:r>
            <w:r w:rsidRPr="00B95778">
              <w:rPr>
                <w:rFonts w:eastAsia="Calibri"/>
              </w:rPr>
              <w:t xml:space="preserve">. Ja Inspekcija konstatē, ka komersants vairs neatbilst prasībām, uz kuru pamata tika izdota drošības apliecība, tā atkarībā no neatbilstības pakāpes vienojas ar komersantu par neatbilstību novēršanas plānu. Ja Inspekcija uzraudzības laikā konstatē drošības apdraudējumu, tā drīkst piemērot pagaidu drošības pasākumus, </w:t>
            </w:r>
            <w:r w:rsidRPr="00B95778">
              <w:rPr>
                <w:rFonts w:eastAsia="Calibri"/>
              </w:rPr>
              <w:lastRenderedPageBreak/>
              <w:t>tostarp nekavējoties ierobežot vai apturēt attiecīgās darbības.</w:t>
            </w:r>
          </w:p>
        </w:tc>
      </w:tr>
      <w:tr w:rsidRPr="00823410" w:rsidR="00C77882" w:rsidTr="00982A1C" w14:paraId="6955832A"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3FC9E96A" w14:textId="5B93C20C">
            <w:pPr>
              <w:ind w:left="360" w:hanging="352"/>
              <w:jc w:val="both"/>
              <w:rPr>
                <w:bCs/>
              </w:rPr>
            </w:pPr>
            <w:r w:rsidRPr="005008E4">
              <w:rPr>
                <w:bCs/>
              </w:rPr>
              <w:lastRenderedPageBreak/>
              <w:t>16.</w:t>
            </w:r>
          </w:p>
        </w:tc>
        <w:tc>
          <w:tcPr>
            <w:tcW w:w="3260" w:type="dxa"/>
            <w:gridSpan w:val="3"/>
            <w:tcBorders>
              <w:left w:val="single" w:color="000000" w:sz="6" w:space="0"/>
              <w:bottom w:val="single" w:color="auto" w:sz="4" w:space="0"/>
              <w:right w:val="single" w:color="000000" w:sz="6" w:space="0"/>
            </w:tcBorders>
            <w:shd w:val="clear" w:color="auto" w:fill="auto"/>
          </w:tcPr>
          <w:p w:rsidRPr="00C05706" w:rsidR="00C05706" w:rsidP="00C05706" w:rsidRDefault="00C05706" w14:paraId="27A757DE" w14:textId="77777777">
            <w:pPr>
              <w:jc w:val="both"/>
            </w:pPr>
            <w:r w:rsidRPr="00C05706">
              <w:t xml:space="preserve">18. Komersanta spēju darboties attiecīgajā komercdarbības jomā dzelzceļa nozarē apliecina spēkā esoša drošības apliecība. </w:t>
            </w:r>
          </w:p>
          <w:p w:rsidRPr="00C05706" w:rsidR="00C05706" w:rsidP="00C05706" w:rsidRDefault="00C05706" w14:paraId="59E2A81A" w14:textId="77777777">
            <w:pPr>
              <w:jc w:val="both"/>
            </w:pPr>
          </w:p>
          <w:p w:rsidRPr="00C05706" w:rsidR="00C05706" w:rsidP="00C05706" w:rsidRDefault="00C05706" w14:paraId="6757E015" w14:textId="77777777">
            <w:pPr>
              <w:jc w:val="both"/>
            </w:pPr>
            <w:r w:rsidRPr="00C05706">
              <w:t>19. Komercdarbības jomas ir šādas:</w:t>
            </w:r>
          </w:p>
          <w:p w:rsidRPr="00C05706" w:rsidR="00C05706" w:rsidP="00C05706" w:rsidRDefault="00C05706" w14:paraId="313C8263" w14:textId="77777777">
            <w:pPr>
              <w:jc w:val="both"/>
            </w:pPr>
            <w:r w:rsidRPr="00C05706">
              <w:t>19.1. dzelzceļa infrastruktūras pārvaldīšana:</w:t>
            </w:r>
          </w:p>
          <w:p w:rsidRPr="00C05706" w:rsidR="00C05706" w:rsidP="00C05706" w:rsidRDefault="00C05706" w14:paraId="7962D3FF" w14:textId="77777777">
            <w:pPr>
              <w:jc w:val="both"/>
            </w:pPr>
            <w:r w:rsidRPr="00C05706">
              <w:t xml:space="preserve">19.1.1. publiskās lietošanas dzelzceļa infrastruktūras pārvaldītājs, kas atbild par normatīvajos aktos par stratēģiskās un reģionālās nozīmes dzelzceļa infrastruktūras iedalījumu </w:t>
            </w:r>
            <w:r w:rsidRPr="00C05706">
              <w:lastRenderedPageBreak/>
              <w:t>minēto dzelzceļa infrastruktūras iecirkņu izveidošanu un uzturēšanu un to infrastruktūras vadības un drošības sistēmu pārvaldību;</w:t>
            </w:r>
          </w:p>
          <w:p w:rsidRPr="00C05706" w:rsidR="00C05706" w:rsidP="00C05706" w:rsidRDefault="00C05706" w14:paraId="5F6BDB24" w14:textId="77777777">
            <w:pPr>
              <w:jc w:val="both"/>
            </w:pPr>
            <w:r w:rsidRPr="00C05706">
              <w:t>19.1.2. dzelzceļa infrastruktūras pārvaldītājs, kura pārvaldījumā nav normatīvajos aktos par stratēģiskās un reģionālās nozīmes dzelzceļa infrastruktūras iedalījumu norādīto dzelzceļa infrastruktūras iecirkņu;</w:t>
            </w:r>
          </w:p>
          <w:p w:rsidRPr="00C05706" w:rsidR="00C05706" w:rsidP="00C05706" w:rsidRDefault="00C05706" w14:paraId="47C2D782" w14:textId="77777777">
            <w:pPr>
              <w:jc w:val="both"/>
            </w:pPr>
            <w:r w:rsidRPr="00C05706">
              <w:t>19.1.3. dzelzceļa infrastruktūras pārvaldītājs, kas atbild par tādas dzelzceļa infrastruktūras izveidi, kas iekļauta Eiropas transporta tīklā (TEN-T) un tā prioritāro projektu sarakstā;</w:t>
            </w:r>
          </w:p>
          <w:p w:rsidRPr="00C05706" w:rsidR="00C05706" w:rsidP="00C05706" w:rsidRDefault="00C05706" w14:paraId="18D2717E" w14:textId="77777777">
            <w:pPr>
              <w:jc w:val="both"/>
            </w:pPr>
            <w:r w:rsidRPr="00C05706">
              <w:t>19.2. manevru veikšana privātās lietošanas dzelzceļa infrastruktūrā un publiskās lietošanas dzelzceļa infrastruktūrā vienas stacijas robežās;</w:t>
            </w:r>
          </w:p>
          <w:p w:rsidRPr="00C05706" w:rsidR="00C05706" w:rsidP="00C05706" w:rsidRDefault="00C05706" w14:paraId="5C58AB64" w14:textId="77777777">
            <w:pPr>
              <w:jc w:val="both"/>
            </w:pPr>
            <w:r w:rsidRPr="00C05706">
              <w:t>19.3. dzelzceļa infrastruktūras tehniskā aprīkojuma būvniecība, remonts vai tehniskā apkope;</w:t>
            </w:r>
          </w:p>
          <w:p w:rsidRPr="00823410" w:rsidR="00C77882" w:rsidP="00C05706" w:rsidRDefault="00C05706" w14:paraId="400C63BF" w14:textId="50B3F325">
            <w:pPr>
              <w:jc w:val="both"/>
            </w:pPr>
            <w:r w:rsidRPr="00C05706">
              <w:lastRenderedPageBreak/>
              <w:t>19.4. ritošā sastāva būvniecība, remonts vai tehniskā apkope.</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365B60DE" w14:textId="56899778">
            <w:pPr>
              <w:jc w:val="both"/>
            </w:pPr>
            <w:r w:rsidRPr="009656F5">
              <w:lastRenderedPageBreak/>
              <w:t>Likuma 35.</w:t>
            </w:r>
            <w:r w:rsidRPr="009656F5">
              <w:rPr>
                <w:vertAlign w:val="superscript"/>
              </w:rPr>
              <w:t>1</w:t>
            </w:r>
            <w:r w:rsidRPr="009656F5">
              <w:t xml:space="preserve"> panta pirmā daļa noteic, ka dzelzceļa infrastruktūras pārvaldītājam un personām, kas nodarbojas ar Likuma 3. panta 5. punktā minēto komercdarbību, proti, personas, kuras pārvadātāja, manevru darbu veicēja, apkalpes vietas operatora, kravas saņēmēja, kravas nosūtītāja vai dzelzceļa infrastruktūras pārvaldītāja uzdevumā nodrošina attiecīgos tehnoloģiskos procesus (dzelzceļa infrastruktūras tehniskā aprīkojuma būvniecību, remontu un tehnisko apkopi, dzelzceļa ritošā sastāva būvniecību, remontu un tehnisko apkopi un manevru darbus stacijā), jāsaņem drošības apliecība. Ievērojot minēto, kā arī </w:t>
            </w:r>
            <w:r w:rsidRPr="009656F5">
              <w:lastRenderedPageBreak/>
              <w:t>to, ka atbilstoši MKN 108 3.2. apakšpunktā noteiktajam normatīvā akta projektā neietver tiesību normas, kas dublē augstāka vai tāda paša spēka normatīvā akta tiesību normās ietverto normatīvo regulējumu, lūdzam izvērtēt projekta 18. un 19. punktā paredzēto regulējumu un precizēt to, kā arī papildināt projekta anotāciju ar atbilstošu skaidrojumu.</w:t>
            </w:r>
          </w:p>
        </w:tc>
        <w:tc>
          <w:tcPr>
            <w:tcW w:w="2126" w:type="dxa"/>
            <w:tcBorders>
              <w:left w:val="single" w:color="000000" w:sz="6" w:space="0"/>
              <w:bottom w:val="single" w:color="auto" w:sz="4" w:space="0"/>
              <w:right w:val="single" w:color="000000" w:sz="6" w:space="0"/>
            </w:tcBorders>
            <w:shd w:val="clear" w:color="auto" w:fill="auto"/>
          </w:tcPr>
          <w:p w:rsidR="00C77882" w:rsidP="00B77A4B" w:rsidRDefault="00FD5A1B" w14:paraId="1A987EDC" w14:textId="77777777">
            <w:pPr>
              <w:autoSpaceDE w:val="0"/>
              <w:autoSpaceDN w:val="0"/>
              <w:adjustRightInd w:val="0"/>
              <w:jc w:val="center"/>
              <w:rPr>
                <w:b/>
              </w:rPr>
            </w:pPr>
            <w:r w:rsidRPr="00FD5A1B">
              <w:rPr>
                <w:b/>
              </w:rPr>
              <w:lastRenderedPageBreak/>
              <w:t>Ņemts vērā.</w:t>
            </w:r>
          </w:p>
          <w:p w:rsidR="00B77A4B" w:rsidP="00F835C9" w:rsidRDefault="00B77A4B" w14:paraId="5B327227" w14:textId="77777777">
            <w:pPr>
              <w:autoSpaceDE w:val="0"/>
              <w:autoSpaceDN w:val="0"/>
              <w:adjustRightInd w:val="0"/>
              <w:jc w:val="both"/>
            </w:pPr>
          </w:p>
          <w:p w:rsidRPr="00823410" w:rsidR="00F835C9" w:rsidP="00F835C9" w:rsidRDefault="00F835C9" w14:paraId="6A9FED40" w14:textId="15B7F9F5">
            <w:pPr>
              <w:autoSpaceDE w:val="0"/>
              <w:autoSpaceDN w:val="0"/>
              <w:adjustRightInd w:val="0"/>
              <w:jc w:val="both"/>
            </w:pPr>
            <w:r>
              <w:t xml:space="preserve">Papildināta </w:t>
            </w:r>
            <w:r w:rsidR="00D10753">
              <w:t xml:space="preserve">projekta </w:t>
            </w:r>
            <w:r>
              <w:t>anotācija</w:t>
            </w:r>
            <w:r w:rsidR="00B77A4B">
              <w:t>.</w:t>
            </w:r>
          </w:p>
        </w:tc>
        <w:tc>
          <w:tcPr>
            <w:tcW w:w="4278" w:type="dxa"/>
            <w:gridSpan w:val="3"/>
            <w:tcBorders>
              <w:top w:val="single" w:color="auto" w:sz="4" w:space="0"/>
              <w:left w:val="single" w:color="auto" w:sz="4" w:space="0"/>
              <w:bottom w:val="single" w:color="auto" w:sz="4" w:space="0"/>
            </w:tcBorders>
            <w:shd w:val="clear" w:color="auto" w:fill="auto"/>
          </w:tcPr>
          <w:p w:rsidRPr="00B95778" w:rsidR="00C42EF2" w:rsidP="00C42EF2" w:rsidRDefault="00C42EF2" w14:paraId="7DE15D53" w14:textId="77777777">
            <w:pPr>
              <w:ind w:left="57" w:right="57"/>
              <w:jc w:val="both"/>
            </w:pPr>
            <w:r w:rsidRPr="00B95778">
              <w:t>17. Komersanta spēju darboties attiecīgajā komercdarbības jomā dzelzceļa nozarē apliecina spēkā esoša drošības apliecība šādās komercdarbības jomās:</w:t>
            </w:r>
          </w:p>
          <w:p w:rsidRPr="00B95778" w:rsidR="00C42EF2" w:rsidP="00C42EF2" w:rsidRDefault="00C42EF2" w14:paraId="49C63FE0" w14:textId="77777777">
            <w:pPr>
              <w:ind w:left="57" w:right="57"/>
              <w:jc w:val="both"/>
            </w:pPr>
            <w:r w:rsidRPr="00B95778">
              <w:t>17.1. dzelzceļa infrastruktūras pārvaldīšana:</w:t>
            </w:r>
          </w:p>
          <w:p w:rsidRPr="00B95778" w:rsidR="00C42EF2" w:rsidP="00C42EF2" w:rsidRDefault="00C42EF2" w14:paraId="558D3EA1" w14:textId="77777777">
            <w:pPr>
              <w:ind w:left="57" w:right="57"/>
              <w:jc w:val="both"/>
            </w:pPr>
            <w:r w:rsidRPr="00B95778">
              <w:t>17.1.1. publiskās lietošanas dzelzceļa 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w:t>
            </w:r>
          </w:p>
          <w:p w:rsidRPr="00B95778" w:rsidR="00C42EF2" w:rsidP="00C42EF2" w:rsidRDefault="00C42EF2" w14:paraId="26A8808E" w14:textId="77777777">
            <w:pPr>
              <w:ind w:left="57" w:right="57"/>
              <w:jc w:val="both"/>
            </w:pPr>
            <w:r w:rsidRPr="00B95778">
              <w:lastRenderedPageBreak/>
              <w:t>17.1.2. dzelzceļa infrastruktūras pārvaldītājs, kura pārvaldījumā nav normatīvajos aktos par stratēģiskās un reģionālās nozīmes dzelzceļa infrastruktūras iedalījumu norādīto dzelzceļa infrastruktūras iecirkņu;</w:t>
            </w:r>
          </w:p>
          <w:p w:rsidRPr="00B95778" w:rsidR="00C42EF2" w:rsidP="00C42EF2" w:rsidRDefault="00C42EF2" w14:paraId="295887CD" w14:textId="77777777">
            <w:pPr>
              <w:ind w:left="57" w:right="57"/>
              <w:jc w:val="both"/>
            </w:pPr>
            <w:r w:rsidRPr="00B95778">
              <w:t>17.1.3. dzelzceļa infrastruktūras pārvaldītājs, kas atbild par tādas dzelzceļa infrastruktūras izveidi, kas iekļauta Eiropas transporta tīklā (TEN-T) un tā prioritāro projektu sarakstā;</w:t>
            </w:r>
          </w:p>
          <w:p w:rsidRPr="00B95778" w:rsidR="00C42EF2" w:rsidP="00C42EF2" w:rsidRDefault="00C42EF2" w14:paraId="445E9080" w14:textId="77777777">
            <w:pPr>
              <w:ind w:left="57" w:right="57"/>
              <w:jc w:val="both"/>
            </w:pPr>
            <w:r w:rsidRPr="00B95778">
              <w:t>17.2. manevru veikšana privātās lietošanas dzelzceļa infrastruktūrā un publiskās lietošanas dzelzceļa infrastruktūrā vienas stacijas robežās;</w:t>
            </w:r>
          </w:p>
          <w:p w:rsidRPr="00B95778" w:rsidR="00C42EF2" w:rsidP="00C42EF2" w:rsidRDefault="00C42EF2" w14:paraId="7ADA4DD9" w14:textId="77777777">
            <w:pPr>
              <w:ind w:left="57" w:right="57"/>
              <w:jc w:val="both"/>
            </w:pPr>
            <w:r w:rsidRPr="00B95778">
              <w:t>17.3. dzelzceļa infrastruktūras tehniskā aprīkojuma būvniecība, remonts vai tehniskā apkope;</w:t>
            </w:r>
          </w:p>
          <w:p w:rsidR="00C42EF2" w:rsidP="00C42EF2" w:rsidRDefault="00C42EF2" w14:paraId="5197D10A" w14:textId="23E96563">
            <w:pPr>
              <w:ind w:left="57" w:right="57"/>
              <w:jc w:val="both"/>
            </w:pPr>
            <w:r w:rsidRPr="00B95778">
              <w:t>17.4. ritošā sastāv</w:t>
            </w:r>
            <w:r w:rsidRPr="00C42EF2">
              <w:t>a būvniecība, remonts vai tehniskā apkope.</w:t>
            </w:r>
          </w:p>
          <w:p w:rsidR="00C42EF2" w:rsidP="009656F5" w:rsidRDefault="00C42EF2" w14:paraId="3D8265AF" w14:textId="77777777">
            <w:pPr>
              <w:ind w:left="57" w:right="57"/>
              <w:jc w:val="both"/>
            </w:pPr>
          </w:p>
          <w:p w:rsidRPr="00823410" w:rsidR="00C42EF2" w:rsidP="00C42EF2" w:rsidRDefault="00C42EF2" w14:paraId="145DB0D4" w14:textId="7C31CDE3">
            <w:pPr>
              <w:ind w:left="57" w:right="57"/>
              <w:jc w:val="both"/>
            </w:pPr>
          </w:p>
        </w:tc>
      </w:tr>
      <w:tr w:rsidRPr="00823410" w:rsidR="00C77882" w:rsidTr="00982A1C" w14:paraId="598D886C"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42E449FA" w14:textId="4E881B66">
            <w:pPr>
              <w:ind w:left="360" w:hanging="352"/>
              <w:jc w:val="both"/>
              <w:rPr>
                <w:bCs/>
              </w:rPr>
            </w:pPr>
            <w:r w:rsidRPr="005008E4">
              <w:rPr>
                <w:bCs/>
              </w:rPr>
              <w:lastRenderedPageBreak/>
              <w:t>17.</w:t>
            </w:r>
          </w:p>
        </w:tc>
        <w:tc>
          <w:tcPr>
            <w:tcW w:w="3260" w:type="dxa"/>
            <w:gridSpan w:val="3"/>
            <w:tcBorders>
              <w:left w:val="single" w:color="000000" w:sz="6" w:space="0"/>
              <w:bottom w:val="single" w:color="auto" w:sz="4" w:space="0"/>
              <w:right w:val="single" w:color="000000" w:sz="6" w:space="0"/>
            </w:tcBorders>
            <w:shd w:val="clear" w:color="auto" w:fill="auto"/>
          </w:tcPr>
          <w:p w:rsidR="00C77882" w:rsidP="007D1014" w:rsidRDefault="009054CA" w14:paraId="7E517B86" w14:textId="77777777">
            <w:pPr>
              <w:jc w:val="both"/>
            </w:pPr>
            <w:r w:rsidRPr="009054CA">
              <w:t>23.1. ziņas par komersantu;</w:t>
            </w:r>
          </w:p>
          <w:p w:rsidRPr="00823410" w:rsidR="009D7C7B" w:rsidP="007D1014" w:rsidRDefault="009D7C7B" w14:paraId="4AF6D80F" w14:textId="3DE20C38">
            <w:pPr>
              <w:jc w:val="both"/>
            </w:pPr>
            <w:r>
              <w:t>62</w:t>
            </w:r>
            <w:r w:rsidRPr="009054CA">
              <w:t>.1. ziņas par komersantu;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7ACB81ED" w14:textId="4117DD56">
            <w:pPr>
              <w:jc w:val="both"/>
              <w:rPr>
                <w:highlight w:val="yellow"/>
              </w:rPr>
            </w:pPr>
            <w:r w:rsidRPr="009656F5">
              <w:t>Lūdzam projekta 23.1. apakšpunktā identificēt konkrētas ziņas par komersantu, kas jānorāda iesniegumā, lai minētā norma netiktu piemērota pārāk plaši, vienlaikus ievērojot normatīvos aktus datu aizsardzības jomā. Minētais attiecas arī uz projekta 62.1. apakšpunktu.</w:t>
            </w:r>
          </w:p>
        </w:tc>
        <w:tc>
          <w:tcPr>
            <w:tcW w:w="2126" w:type="dxa"/>
            <w:tcBorders>
              <w:left w:val="single" w:color="000000" w:sz="6" w:space="0"/>
              <w:bottom w:val="single" w:color="auto" w:sz="4" w:space="0"/>
              <w:right w:val="single" w:color="000000" w:sz="6" w:space="0"/>
            </w:tcBorders>
            <w:shd w:val="clear" w:color="auto" w:fill="auto"/>
          </w:tcPr>
          <w:p w:rsidR="00C77882" w:rsidP="00B77A4B" w:rsidRDefault="00FD5A1B" w14:paraId="48048724" w14:textId="77777777">
            <w:pPr>
              <w:autoSpaceDE w:val="0"/>
              <w:autoSpaceDN w:val="0"/>
              <w:adjustRightInd w:val="0"/>
              <w:jc w:val="center"/>
              <w:rPr>
                <w:b/>
              </w:rPr>
            </w:pPr>
            <w:r w:rsidRPr="00FD5A1B">
              <w:rPr>
                <w:b/>
              </w:rPr>
              <w:t>Ņemts vērā.</w:t>
            </w:r>
          </w:p>
          <w:p w:rsidRPr="00AE705D" w:rsidR="00AE705D" w:rsidP="009656F5" w:rsidRDefault="00AE705D" w14:paraId="6C445010" w14:textId="2105E800">
            <w:pPr>
              <w:autoSpaceDE w:val="0"/>
              <w:autoSpaceDN w:val="0"/>
              <w:adjustRightInd w:val="0"/>
              <w:jc w:val="both"/>
              <w:rPr>
                <w:highlight w:val="yellow"/>
              </w:rPr>
            </w:pPr>
          </w:p>
        </w:tc>
        <w:tc>
          <w:tcPr>
            <w:tcW w:w="4278" w:type="dxa"/>
            <w:gridSpan w:val="3"/>
            <w:tcBorders>
              <w:top w:val="single" w:color="auto" w:sz="4" w:space="0"/>
              <w:left w:val="single" w:color="auto" w:sz="4" w:space="0"/>
              <w:bottom w:val="single" w:color="auto" w:sz="4" w:space="0"/>
            </w:tcBorders>
            <w:shd w:val="clear" w:color="auto" w:fill="auto"/>
          </w:tcPr>
          <w:p w:rsidRPr="00B95778" w:rsidR="00C77882" w:rsidP="009D7C7B" w:rsidRDefault="009D7C7B" w14:paraId="4F1416E7" w14:textId="786B799C">
            <w:pPr>
              <w:ind w:left="57" w:right="57"/>
              <w:jc w:val="both"/>
            </w:pPr>
            <w:r w:rsidRPr="00B95778">
              <w:t>2</w:t>
            </w:r>
            <w:r w:rsidRPr="00B95778" w:rsidR="00816E6C">
              <w:t>1</w:t>
            </w:r>
            <w:r w:rsidRPr="00B95778">
              <w:t>.1. komersanta nosaukumu, reģistrācijas numuru un adresi;</w:t>
            </w:r>
          </w:p>
          <w:p w:rsidRPr="00823410" w:rsidR="009D7C7B" w:rsidP="009D7C7B" w:rsidRDefault="00816E6C" w14:paraId="13C07678" w14:textId="341589DD">
            <w:pPr>
              <w:ind w:left="57" w:right="57"/>
              <w:jc w:val="both"/>
            </w:pPr>
            <w:r w:rsidRPr="00B95778">
              <w:t>58</w:t>
            </w:r>
            <w:r w:rsidRPr="00B95778" w:rsidR="009D7C7B">
              <w:t>.1. komersanta nosaukumu, reģistrācijas numuru un adresi</w:t>
            </w:r>
            <w:r w:rsidR="00AE0281">
              <w:t>.</w:t>
            </w:r>
          </w:p>
        </w:tc>
      </w:tr>
      <w:tr w:rsidRPr="00823410" w:rsidR="00C77882" w:rsidTr="00982A1C" w14:paraId="0F304F0C"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0F082B1B" w14:textId="568FE7DA">
            <w:pPr>
              <w:ind w:left="360" w:hanging="352"/>
              <w:jc w:val="both"/>
              <w:rPr>
                <w:bCs/>
              </w:rPr>
            </w:pPr>
            <w:r w:rsidRPr="005008E4">
              <w:rPr>
                <w:bCs/>
              </w:rPr>
              <w:t>18.</w:t>
            </w:r>
          </w:p>
        </w:tc>
        <w:tc>
          <w:tcPr>
            <w:tcW w:w="3260" w:type="dxa"/>
            <w:gridSpan w:val="3"/>
            <w:tcBorders>
              <w:left w:val="single" w:color="000000" w:sz="6" w:space="0"/>
              <w:bottom w:val="single" w:color="auto" w:sz="4" w:space="0"/>
              <w:right w:val="single" w:color="000000" w:sz="6" w:space="0"/>
            </w:tcBorders>
            <w:shd w:val="clear" w:color="auto" w:fill="auto"/>
          </w:tcPr>
          <w:p w:rsidR="00C77882" w:rsidP="00C77882" w:rsidRDefault="00C33196" w14:paraId="2A685EF8" w14:textId="77777777">
            <w:pPr>
              <w:jc w:val="both"/>
            </w:pPr>
            <w:r w:rsidRPr="00C33196">
              <w:t>37. Inspekcija izskata iesniegumu un tam pievienotos dokumentus un, ja konstatē, ka iesniegtie dokumenti neatbilst šo noteikumu prasībām vai tie ir nepilnīgi vai neprecīzi, pieprasa komersantam novērtēšanai nepieciešamo papildu informāciju. Pieprasīto informāciju komersants iesniedz viena mēneša laikā vai citā termiņā, ja par to komersants un Inspekcija ir vienojušies.</w:t>
            </w:r>
          </w:p>
          <w:p w:rsidR="00C33196" w:rsidP="00C77882" w:rsidRDefault="00C33196" w14:paraId="662D3017" w14:textId="77777777">
            <w:pPr>
              <w:jc w:val="both"/>
            </w:pPr>
            <w:r w:rsidRPr="00C33196">
              <w:t xml:space="preserve">46. Ja drošības apliecības turētājs plāno mainīt darbības nosacījumus, pamatojoties uz kuriem tika izdota drošības apliecība, tas pirms to īstenošanas par to rakstiski paziņo Inspekcijai. Mēneša </w:t>
            </w:r>
            <w:r w:rsidRPr="00C33196">
              <w:lastRenderedPageBreak/>
              <w:t>laikā pēc informācijas saņemšanas Inspekcija izvērtē, cik būtiskas ir komersanta plānotās izmaiņas, un, ja tās skar atbilstību tieši piemērojamiem Eiropas Savienības tiesību aktiem, nacionālajām prasībām vai vietējiem nosacījumiem, uzdod komersantam mēneša laikā veikt attiecīgas izmaiņas tā drošības pārvaldības sistēmā vai dokumentos un pieprasa iesniegt iesniegumu drošības apliecības grozīšanai. Ja izmaiņas neskar atbilstību tieši piemērojamiem Eiropas Savienības tiesību aktiem, nacionālajām prasībām vai vietējiem nosacījumiem, minēto informāciju Inspekcija reģistrē kā komersanta drošības apliecības darbības nosacījumu maiņu, negrozot drošības apliecību. Inspekcija var pieprasīt no komersanta novērtēšanai nepieciešamo papildu informāciju.</w:t>
            </w:r>
          </w:p>
          <w:p w:rsidR="00C33196" w:rsidP="00C77882" w:rsidRDefault="00C33196" w14:paraId="750C4CAB" w14:textId="77777777">
            <w:pPr>
              <w:jc w:val="both"/>
            </w:pPr>
            <w:r w:rsidRPr="00C33196">
              <w:t xml:space="preserve">65. Inspekcija izskata pieteikumu un tam pievienotos </w:t>
            </w:r>
            <w:r w:rsidRPr="00C33196">
              <w:lastRenderedPageBreak/>
              <w:t>dokumentus un, ja konstatē, ka iesniegtie dokumenti neatbilst šo noteikumu prasībām vai tie ir nepilnīgi vai neprecīzi, pieprasa komersantam novērtēšanai nepieciešamu papildu informāciju. Pieprasīto informāciju komersants iesniedz viena mēneša laikā vai citā termiņā, ja komersants un Inspekcija par to ir vienojušies.</w:t>
            </w:r>
          </w:p>
          <w:p w:rsidRPr="00C33196" w:rsidR="00C33196" w:rsidP="00C33196" w:rsidRDefault="00C33196" w14:paraId="7AEFFCC1" w14:textId="77777777">
            <w:pPr>
              <w:jc w:val="both"/>
            </w:pPr>
            <w:r w:rsidRPr="00C33196">
              <w:t xml:space="preserve">72. Ja šo noteikumu 56.2.apakšpunktā minētā sertifikāta turētājs plāno mainīt darbības nosacījumus, pamatojoties uz kuriem tika izdots sertifikāts, tas pirms to īstenošanas par to rakstiski paziņo Inspekcijai. Mēneša laikā pēc informācijas saņemšanas Inspekcija izvērtē, cik būtiskas ir komersanta plānotās izmaiņas, un, ja tās skar atbilstību tieši piemērojamiem Eiropas Savienības tiesību aktiem, nacionālajām prasībām vai vietējiem nosacījumiem, uzdod komersantam mēneša laikā veikt attiecīgas izmaiņas tā </w:t>
            </w:r>
            <w:r w:rsidRPr="00C33196">
              <w:lastRenderedPageBreak/>
              <w:t xml:space="preserve">dokumentos un pieprasa iesniegt pieteikumu sertifikāta grozīšanai. Ja izmaiņas neskar atbilstību tieši piemērojamiem Eiropas Savienības tiesību aktiem, nacionālajām prasībām vai vietējiem nosacījumiem, minēto informāciju Inspekcija reģistrē kā šo noteikumu 56.2.apakšpunktā minētā sertifikāta darbības nosacījumu maiņu, sertifikātu negrozot. Inspekcija var pieprasīt komersantam iesniegt novērtēšanai nepieciešamo papildu informāciju. </w:t>
            </w:r>
          </w:p>
          <w:p w:rsidRPr="00823410" w:rsidR="00C33196" w:rsidP="00C77882" w:rsidRDefault="00C33196" w14:paraId="476A742A" w14:textId="6ED47F9D">
            <w:pPr>
              <w:jc w:val="both"/>
            </w:pP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59F7426D" w14:textId="1AD5FCE8">
            <w:pPr>
              <w:jc w:val="both"/>
            </w:pPr>
            <w:r w:rsidRPr="009656F5">
              <w:lastRenderedPageBreak/>
              <w:t>Ievērojot, ka APL 59. pantā ir noteikta informācijas iegūšanas kārtība, lūdzam precizēt projekta 37., 46., 65. un 72. punktā paredzēto regulējumu, svītrojot regulējumu par papildu informācijas iegūšanas kārtību.</w:t>
            </w:r>
          </w:p>
        </w:tc>
        <w:tc>
          <w:tcPr>
            <w:tcW w:w="2126" w:type="dxa"/>
            <w:tcBorders>
              <w:left w:val="single" w:color="000000" w:sz="6" w:space="0"/>
              <w:bottom w:val="single" w:color="auto" w:sz="4" w:space="0"/>
              <w:right w:val="single" w:color="000000" w:sz="6" w:space="0"/>
            </w:tcBorders>
            <w:shd w:val="clear" w:color="auto" w:fill="auto"/>
          </w:tcPr>
          <w:p w:rsidR="00ED0872" w:rsidP="00D10753" w:rsidRDefault="00FD5A1B" w14:paraId="20F285C8" w14:textId="77777777">
            <w:pPr>
              <w:autoSpaceDE w:val="0"/>
              <w:autoSpaceDN w:val="0"/>
              <w:adjustRightInd w:val="0"/>
              <w:jc w:val="center"/>
              <w:rPr>
                <w:b/>
              </w:rPr>
            </w:pPr>
            <w:r w:rsidRPr="00FD5A1B">
              <w:rPr>
                <w:b/>
              </w:rPr>
              <w:t>Ņemts vērā.</w:t>
            </w:r>
          </w:p>
          <w:p w:rsidR="00B77A4B" w:rsidP="009656F5" w:rsidRDefault="00B77A4B" w14:paraId="359AAD93" w14:textId="77777777">
            <w:pPr>
              <w:autoSpaceDE w:val="0"/>
              <w:autoSpaceDN w:val="0"/>
              <w:adjustRightInd w:val="0"/>
              <w:jc w:val="both"/>
            </w:pPr>
          </w:p>
          <w:p w:rsidRPr="00ED0872" w:rsidR="009D7C7B" w:rsidP="009656F5" w:rsidRDefault="00E12258" w14:paraId="7DBC4143" w14:textId="4DFCF788">
            <w:pPr>
              <w:autoSpaceDE w:val="0"/>
              <w:autoSpaceDN w:val="0"/>
              <w:adjustRightInd w:val="0"/>
              <w:jc w:val="both"/>
            </w:pPr>
            <w:r>
              <w:t>Svītrots regulējums par papildu informācijas iegūšans kārtību.</w:t>
            </w:r>
          </w:p>
        </w:tc>
        <w:tc>
          <w:tcPr>
            <w:tcW w:w="4278" w:type="dxa"/>
            <w:gridSpan w:val="3"/>
            <w:tcBorders>
              <w:top w:val="single" w:color="auto" w:sz="4" w:space="0"/>
              <w:left w:val="single" w:color="auto" w:sz="4" w:space="0"/>
              <w:bottom w:val="single" w:color="auto" w:sz="4" w:space="0"/>
            </w:tcBorders>
            <w:shd w:val="clear" w:color="auto" w:fill="auto"/>
          </w:tcPr>
          <w:p w:rsidRPr="00B95778" w:rsidR="00C33196" w:rsidP="00C33196" w:rsidRDefault="00C33196" w14:paraId="66077FA3" w14:textId="0B78A256">
            <w:pPr>
              <w:spacing w:before="120"/>
              <w:jc w:val="both"/>
            </w:pPr>
            <w:r w:rsidRPr="00B95778">
              <w:t>4</w:t>
            </w:r>
            <w:r w:rsidRPr="00B95778" w:rsidR="00816E6C">
              <w:t>3</w:t>
            </w:r>
            <w:r w:rsidRPr="00B95778">
              <w:t>.</w:t>
            </w:r>
            <w:r w:rsidRPr="00C33196">
              <w:t xml:space="preserve"> Ja drošības apliecības turētājs plāno mainīt darbības nosacījumus, pamatojoties uz kuriem tika izdota drošības apliecība, tas pirms to īstenošanas par to rakstiski paziņo Inspekcijai. Mēneša laikā pēc informācijas saņemšanas Inspekcija izvērtē, cik būtiskas ir komersanta plānotās izmaiņas, un, ja tās skar atbilstību tieši piemērojamiem Eiropas Savienības tiesību </w:t>
            </w:r>
            <w:r w:rsidRPr="00DB45F0">
              <w:t xml:space="preserve">aktiem, nacionālajām prasībām vai vietējiem </w:t>
            </w:r>
            <w:r w:rsidRPr="00DB45F0" w:rsidR="00677EBC">
              <w:t xml:space="preserve">infrastruktūras </w:t>
            </w:r>
            <w:r w:rsidRPr="00DB45F0">
              <w:t xml:space="preserve">nosacījumiem, uzdod komersantam mēneša laikā veikt attiecīgas izmaiņas tā drošības pārvaldības sistēmā vai dokumentos un pieprasa iesniegt iesniegumu drošības apliecības grozīšanai. Ja izmaiņas neskar atbilstību tieši piemērojamiem Eiropas Savienības tiesību aktiem, nacionālajām prasībām vai vietējiem </w:t>
            </w:r>
            <w:r w:rsidRPr="00DB45F0" w:rsidR="00677EBC">
              <w:t xml:space="preserve">infrastruktūras </w:t>
            </w:r>
            <w:r w:rsidRPr="00DB45F0">
              <w:t xml:space="preserve">nosacījumiem, minēto informāciju Inspekcija reģistrē kā </w:t>
            </w:r>
            <w:r w:rsidRPr="00DB45F0">
              <w:lastRenderedPageBreak/>
              <w:t>komersanta drošības apliecības darbības nosacījumu maiņu, neg</w:t>
            </w:r>
            <w:r w:rsidRPr="00B95778">
              <w:t xml:space="preserve">rozot drošības apliecību. </w:t>
            </w:r>
          </w:p>
          <w:p w:rsidRPr="00B95778" w:rsidR="00C33196" w:rsidP="00C33196" w:rsidRDefault="00816E6C" w14:paraId="03CC7389" w14:textId="1B2C1105">
            <w:pPr>
              <w:spacing w:before="120"/>
              <w:jc w:val="both"/>
            </w:pPr>
            <w:r w:rsidRPr="00B95778">
              <w:t>66</w:t>
            </w:r>
            <w:r w:rsidRPr="00B95778" w:rsidR="00C33196">
              <w:t>. Ja šo noteikumu 5</w:t>
            </w:r>
            <w:r w:rsidRPr="00B95778">
              <w:t>1</w:t>
            </w:r>
            <w:r w:rsidRPr="00B95778" w:rsidR="00C33196">
              <w:t>.2.apakšpunktā minētā sertifikāta turētājs plāno mainīt darbības nosacījumus, pamatojoties</w:t>
            </w:r>
            <w:r w:rsidRPr="00C33196" w:rsidR="00C33196">
              <w:t xml:space="preserve"> uz kuriem tika izdots sertifikāts, tas pirms to īstenošanas par to rakstiski paziņo Inspekcijai. Mēneša laikā pēc informācijas saņemšanas Inspekcija izvērtē, cik </w:t>
            </w:r>
            <w:r w:rsidRPr="00DB45F0" w:rsidR="00C33196">
              <w:t xml:space="preserve">būtiskas ir komersanta plānotās izmaiņas, un, ja tās skar atbilstību tieši piemērojamiem Eiropas Savienības tiesību aktiem, nacionālajām prasībām vai vietējiem </w:t>
            </w:r>
            <w:r w:rsidRPr="00DB45F0" w:rsidR="00677EBC">
              <w:t xml:space="preserve">infrastruktūras </w:t>
            </w:r>
            <w:r w:rsidRPr="00DB45F0" w:rsidR="00C33196">
              <w:t xml:space="preserve">nosacījumiem, uzdod komersantam mēneša laikā veikt attiecīgas izmaiņas tā dokumentos un pieprasa iesniegt pieteikumu sertifikāta grozīšanai. Ja izmaiņas neskar atbilstību tieši piemērojamiem Eiropas Savienības tiesību aktiem, nacionālajām prasībām vai vietējiem </w:t>
            </w:r>
            <w:r w:rsidRPr="00DB45F0" w:rsidR="00677EBC">
              <w:t xml:space="preserve">infrastruktūras </w:t>
            </w:r>
            <w:r w:rsidRPr="00DB45F0" w:rsidR="00C33196">
              <w:t>nosacījumiem, minēto informāciju Inspekcija reģistrē kā šo noteikumu 5</w:t>
            </w:r>
            <w:r w:rsidRPr="00DB45F0">
              <w:t>1</w:t>
            </w:r>
            <w:r w:rsidRPr="00DB45F0" w:rsidR="00C33196">
              <w:t>.2.apakšpunktā</w:t>
            </w:r>
            <w:r w:rsidRPr="00B95778" w:rsidR="00C33196">
              <w:t xml:space="preserve"> minētā sertifikāta darbības nosacījumu maiņu, sertifikātu negrozot. </w:t>
            </w:r>
          </w:p>
          <w:p w:rsidRPr="00823410" w:rsidR="00C77882" w:rsidP="009656F5" w:rsidRDefault="00C77882" w14:paraId="3A20963C" w14:textId="07794E17">
            <w:pPr>
              <w:spacing w:before="120"/>
              <w:jc w:val="both"/>
            </w:pPr>
          </w:p>
        </w:tc>
      </w:tr>
      <w:tr w:rsidRPr="00823410" w:rsidR="00C77882" w:rsidTr="00982A1C" w14:paraId="738FFEF6"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3B39129D" w14:textId="69BE8131">
            <w:pPr>
              <w:ind w:left="360" w:hanging="352"/>
              <w:jc w:val="both"/>
              <w:rPr>
                <w:bCs/>
              </w:rPr>
            </w:pPr>
            <w:r w:rsidRPr="005008E4">
              <w:rPr>
                <w:bCs/>
              </w:rPr>
              <w:lastRenderedPageBreak/>
              <w:t>19.</w:t>
            </w:r>
          </w:p>
        </w:tc>
        <w:tc>
          <w:tcPr>
            <w:tcW w:w="3260" w:type="dxa"/>
            <w:gridSpan w:val="3"/>
            <w:tcBorders>
              <w:left w:val="single" w:color="000000" w:sz="6" w:space="0"/>
              <w:bottom w:val="single" w:color="auto" w:sz="4" w:space="0"/>
              <w:right w:val="single" w:color="000000" w:sz="6" w:space="0"/>
            </w:tcBorders>
            <w:shd w:val="clear" w:color="auto" w:fill="auto"/>
          </w:tcPr>
          <w:p w:rsidR="00C33196" w:rsidP="00C33196" w:rsidRDefault="00C33196" w14:paraId="777E38BD" w14:textId="77777777">
            <w:pPr>
              <w:pStyle w:val="tv213"/>
              <w:shd w:val="clear" w:color="auto" w:fill="FFFFFF"/>
              <w:tabs>
                <w:tab w:val="left" w:pos="851"/>
              </w:tabs>
              <w:spacing w:before="0" w:beforeAutospacing="0" w:after="0" w:afterAutospacing="0"/>
              <w:jc w:val="both"/>
              <w:rPr>
                <w:rFonts w:eastAsiaTheme="minorHAnsi"/>
                <w:lang w:eastAsia="en-US"/>
              </w:rPr>
            </w:pPr>
            <w:r>
              <w:rPr>
                <w:rFonts w:eastAsiaTheme="minorHAnsi"/>
                <w:lang w:eastAsia="en-US"/>
              </w:rPr>
              <w:t>38</w:t>
            </w:r>
            <w:r w:rsidRPr="00EA44F7">
              <w:rPr>
                <w:rFonts w:eastAsiaTheme="minorHAnsi"/>
                <w:lang w:eastAsia="en-US"/>
              </w:rPr>
              <w:t xml:space="preserve">. Inspekcija novērtē, vai komersants kā dzelzceļa sistēmas dalībnieks spēj izpildīt attiecīgās šo noteikumu </w:t>
            </w:r>
            <w:r w:rsidRPr="00242D1E">
              <w:rPr>
                <w:rFonts w:eastAsia="Calibri"/>
              </w:rPr>
              <w:t>24., 26., 28., 30</w:t>
            </w:r>
            <w:r>
              <w:rPr>
                <w:rFonts w:eastAsia="Calibri"/>
              </w:rPr>
              <w:t xml:space="preserve">., </w:t>
            </w:r>
            <w:r w:rsidRPr="00242D1E">
              <w:rPr>
                <w:rFonts w:eastAsia="Calibri"/>
              </w:rPr>
              <w:t>32.</w:t>
            </w:r>
            <w:r>
              <w:rPr>
                <w:rFonts w:eastAsia="Calibri"/>
              </w:rPr>
              <w:t xml:space="preserve"> un 34.</w:t>
            </w:r>
            <w:r w:rsidRPr="00242D1E">
              <w:rPr>
                <w:rFonts w:eastAsia="Calibri"/>
              </w:rPr>
              <w:t>punkta</w:t>
            </w:r>
            <w:r w:rsidRPr="00141ED0">
              <w:rPr>
                <w:rFonts w:eastAsia="Calibri"/>
              </w:rPr>
              <w:t xml:space="preserve"> </w:t>
            </w:r>
            <w:r w:rsidRPr="00EA44F7">
              <w:rPr>
                <w:rFonts w:eastAsiaTheme="minorHAnsi"/>
                <w:lang w:eastAsia="en-US"/>
              </w:rPr>
              <w:t>prasības un konsekventi tās piemērot, nodrošinot dzelzceļa sistēmas drošu darbību.</w:t>
            </w:r>
          </w:p>
          <w:p w:rsidRPr="00EA44F7" w:rsidR="00C33196" w:rsidP="00C33196" w:rsidRDefault="00C33196" w14:paraId="40539F79" w14:textId="77777777">
            <w:pPr>
              <w:pStyle w:val="tv213"/>
              <w:shd w:val="clear" w:color="auto" w:fill="FFFFFF"/>
              <w:tabs>
                <w:tab w:val="left" w:pos="851"/>
              </w:tabs>
              <w:spacing w:before="0" w:beforeAutospacing="0" w:after="0" w:afterAutospacing="0"/>
              <w:ind w:firstLine="851"/>
              <w:jc w:val="both"/>
              <w:rPr>
                <w:rFonts w:eastAsiaTheme="minorHAnsi"/>
                <w:lang w:eastAsia="en-US"/>
              </w:rPr>
            </w:pPr>
          </w:p>
          <w:p w:rsidR="00523846" w:rsidP="00C33196" w:rsidRDefault="00C33196" w14:paraId="4D5CAE1C" w14:textId="77777777">
            <w:pPr>
              <w:jc w:val="both"/>
              <w:rPr>
                <w:rFonts w:eastAsiaTheme="minorHAnsi"/>
                <w:lang w:eastAsia="en-US"/>
              </w:rPr>
            </w:pPr>
            <w:r>
              <w:rPr>
                <w:rFonts w:eastAsiaTheme="minorHAnsi"/>
                <w:lang w:eastAsia="en-US"/>
              </w:rPr>
              <w:t>39</w:t>
            </w:r>
            <w:r w:rsidRPr="00EA44F7">
              <w:rPr>
                <w:rFonts w:eastAsiaTheme="minorHAnsi"/>
                <w:lang w:eastAsia="en-US"/>
              </w:rPr>
              <w:t xml:space="preserve">. </w:t>
            </w:r>
            <w:r w:rsidRPr="00C33196">
              <w:rPr>
                <w:rFonts w:eastAsiaTheme="minorHAnsi"/>
                <w:lang w:eastAsia="en-US"/>
              </w:rPr>
              <w:t>Ja tas ir nepieciešams, š</w:t>
            </w:r>
            <w:r w:rsidRPr="00EA44F7">
              <w:rPr>
                <w:rFonts w:eastAsiaTheme="minorHAnsi"/>
                <w:lang w:eastAsia="en-US"/>
              </w:rPr>
              <w:t xml:space="preserve">o noteikumu </w:t>
            </w:r>
            <w:r w:rsidRPr="00242D1E">
              <w:rPr>
                <w:rFonts w:eastAsia="Calibri"/>
              </w:rPr>
              <w:t>24., 26., 28., 30</w:t>
            </w:r>
            <w:r>
              <w:rPr>
                <w:rFonts w:eastAsia="Calibri"/>
              </w:rPr>
              <w:t xml:space="preserve">., </w:t>
            </w:r>
            <w:r w:rsidRPr="00242D1E">
              <w:rPr>
                <w:rFonts w:eastAsia="Calibri"/>
              </w:rPr>
              <w:t>32.</w:t>
            </w:r>
            <w:r>
              <w:rPr>
                <w:rFonts w:eastAsia="Calibri"/>
              </w:rPr>
              <w:t xml:space="preserve"> un 34.</w:t>
            </w:r>
            <w:r w:rsidRPr="00242D1E">
              <w:rPr>
                <w:rFonts w:eastAsia="Calibri"/>
              </w:rPr>
              <w:t>punkta</w:t>
            </w:r>
            <w:r w:rsidRPr="00141ED0">
              <w:rPr>
                <w:rFonts w:eastAsia="Calibri"/>
              </w:rPr>
              <w:t xml:space="preserve"> </w:t>
            </w:r>
            <w:r w:rsidRPr="00EA44F7">
              <w:rPr>
                <w:rFonts w:eastAsiaTheme="minorHAnsi"/>
                <w:lang w:eastAsia="en-US"/>
              </w:rPr>
              <w:t>prasību izpildes novērtēšanai</w:t>
            </w:r>
            <w:r>
              <w:rPr>
                <w:rFonts w:eastAsiaTheme="minorHAnsi"/>
                <w:lang w:eastAsia="en-US"/>
              </w:rPr>
              <w:t>,</w:t>
            </w:r>
            <w:r w:rsidRPr="00EA44F7">
              <w:rPr>
                <w:rFonts w:eastAsiaTheme="minorHAnsi"/>
                <w:lang w:eastAsia="en-US"/>
              </w:rPr>
              <w:t xml:space="preserve"> pirms drošības </w:t>
            </w:r>
            <w:r w:rsidRPr="00EA44F7">
              <w:rPr>
                <w:rFonts w:eastAsiaTheme="minorHAnsi"/>
                <w:lang w:eastAsia="en-US"/>
              </w:rPr>
              <w:lastRenderedPageBreak/>
              <w:t>apliecības izdošanas Inspekcija var veikt arī novērtējumu komersanta objektos.</w:t>
            </w:r>
          </w:p>
          <w:p w:rsidR="00AE705D" w:rsidP="00C33196" w:rsidRDefault="00AE705D" w14:paraId="6988841C" w14:textId="77777777">
            <w:pPr>
              <w:jc w:val="both"/>
            </w:pPr>
          </w:p>
          <w:p w:rsidRPr="00823410" w:rsidR="00C33196" w:rsidP="00C33196" w:rsidRDefault="00C33196" w14:paraId="178BEDCD" w14:textId="4B3029C9">
            <w:pPr>
              <w:jc w:val="both"/>
            </w:pPr>
            <w:r w:rsidRPr="00C33196">
              <w:t>49.</w:t>
            </w:r>
            <w:r w:rsidRPr="00C33196">
              <w:rPr>
                <w:i/>
              </w:rPr>
              <w:t xml:space="preserve"> </w:t>
            </w:r>
            <w:r w:rsidRPr="00C33196">
              <w:t>Atjaunojot drošības apliecību, Inspekcija izmanto arī uzraudzības laikā iegūto informāciju.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6E2E8000" w14:textId="47B8447E">
            <w:pPr>
              <w:jc w:val="both"/>
            </w:pPr>
            <w:r w:rsidRPr="009656F5">
              <w:lastRenderedPageBreak/>
              <w:t>Lūdzam projekta 38. punktu papildināt ar Inspekcijas rīcību, ja novērtējums par prasību izpildi ir negatīvs, jo pašlaik projekta 38. punktam trūkst juridiskās slodzes. Minētais attiecas arī uz projekta 39. un 49. punktu.</w:t>
            </w:r>
          </w:p>
        </w:tc>
        <w:tc>
          <w:tcPr>
            <w:tcW w:w="2126" w:type="dxa"/>
            <w:tcBorders>
              <w:left w:val="single" w:color="000000" w:sz="6" w:space="0"/>
              <w:bottom w:val="single" w:color="auto" w:sz="4" w:space="0"/>
              <w:right w:val="single" w:color="000000" w:sz="6" w:space="0"/>
            </w:tcBorders>
            <w:shd w:val="clear" w:color="auto" w:fill="auto"/>
          </w:tcPr>
          <w:p w:rsidR="00C77882" w:rsidP="00B77A4B" w:rsidRDefault="00FD5A1B" w14:paraId="74FF7BF4" w14:textId="77777777">
            <w:pPr>
              <w:autoSpaceDE w:val="0"/>
              <w:autoSpaceDN w:val="0"/>
              <w:adjustRightInd w:val="0"/>
              <w:jc w:val="center"/>
              <w:rPr>
                <w:b/>
              </w:rPr>
            </w:pPr>
            <w:r w:rsidRPr="00FD5A1B">
              <w:rPr>
                <w:b/>
              </w:rPr>
              <w:t>Ņemts vērā.</w:t>
            </w:r>
          </w:p>
          <w:p w:rsidRPr="00AE705D" w:rsidR="00AE705D" w:rsidP="009656F5" w:rsidRDefault="00AE705D" w14:paraId="08F1787D" w14:textId="23843795">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B95778" w:rsidR="00816E6C" w:rsidP="00816E6C" w:rsidRDefault="00816E6C" w14:paraId="173FD3DB" w14:textId="77777777">
            <w:pPr>
              <w:pStyle w:val="tv213"/>
              <w:shd w:val="clear" w:color="auto" w:fill="FFFFFF"/>
              <w:tabs>
                <w:tab w:val="left" w:pos="851"/>
              </w:tabs>
              <w:spacing w:before="0" w:beforeAutospacing="0" w:after="0" w:afterAutospacing="0"/>
              <w:jc w:val="both"/>
              <w:rPr>
                <w:rFonts w:eastAsiaTheme="minorHAnsi"/>
                <w:lang w:eastAsia="en-US"/>
              </w:rPr>
            </w:pPr>
            <w:r w:rsidRPr="00B77A4B">
              <w:rPr>
                <w:rFonts w:eastAsiaTheme="minorHAnsi"/>
                <w:bCs/>
                <w:lang w:eastAsia="en-US"/>
              </w:rPr>
              <w:t>35.</w:t>
            </w:r>
            <w:r w:rsidRPr="00EA44F7">
              <w:rPr>
                <w:rFonts w:eastAsiaTheme="minorHAnsi"/>
                <w:lang w:eastAsia="en-US"/>
              </w:rPr>
              <w:t xml:space="preserve"> Inspekcija novērtē, vai komersants kā dzelzceļa </w:t>
            </w:r>
            <w:r w:rsidRPr="00B95778">
              <w:rPr>
                <w:rFonts w:eastAsiaTheme="minorHAnsi"/>
                <w:lang w:eastAsia="en-US"/>
              </w:rPr>
              <w:t xml:space="preserve">sistēmas dalībnieks spēj izpildīt attiecīgās šo noteikumu </w:t>
            </w:r>
            <w:r w:rsidRPr="00B95778">
              <w:rPr>
                <w:rFonts w:eastAsia="Calibri"/>
              </w:rPr>
              <w:t xml:space="preserve">22., 24., 26., 28., 30. un 32.punkta </w:t>
            </w:r>
            <w:r w:rsidRPr="00B95778">
              <w:rPr>
                <w:rFonts w:eastAsiaTheme="minorHAnsi"/>
                <w:lang w:eastAsia="en-US"/>
              </w:rPr>
              <w:t xml:space="preserve">prasības un konsekventi tās piemērot, nodrošinot dzelzceļa sistēmas drošu darbību. Ja komersants nespēj izpildīt šīs prasības, Inspekcija, ņemot vērā arī šo noteikumu 36.punktā minētā novērtējuma rezultātus, atsaka drošības apliecības izdošanu. </w:t>
            </w:r>
          </w:p>
          <w:p w:rsidRPr="00B95778" w:rsidR="00816E6C" w:rsidP="00816E6C" w:rsidRDefault="00816E6C" w14:paraId="06AF333B" w14:textId="77777777">
            <w:pPr>
              <w:pStyle w:val="tv213"/>
              <w:shd w:val="clear" w:color="auto" w:fill="FFFFFF"/>
              <w:tabs>
                <w:tab w:val="left" w:pos="851"/>
              </w:tabs>
              <w:spacing w:before="0" w:beforeAutospacing="0" w:after="0" w:afterAutospacing="0"/>
              <w:ind w:firstLine="851"/>
              <w:jc w:val="both"/>
              <w:rPr>
                <w:rFonts w:eastAsiaTheme="minorHAnsi"/>
                <w:lang w:eastAsia="en-US"/>
              </w:rPr>
            </w:pPr>
          </w:p>
          <w:p w:rsidRPr="00B95778" w:rsidR="00816E6C" w:rsidP="00816E6C" w:rsidRDefault="00816E6C" w14:paraId="0A4D1A88" w14:textId="77777777">
            <w:pPr>
              <w:pStyle w:val="tv213"/>
              <w:shd w:val="clear" w:color="auto" w:fill="FFFFFF"/>
              <w:tabs>
                <w:tab w:val="left" w:pos="851"/>
              </w:tabs>
              <w:spacing w:before="0" w:beforeAutospacing="0" w:after="0" w:afterAutospacing="0"/>
              <w:jc w:val="both"/>
              <w:rPr>
                <w:rFonts w:eastAsiaTheme="minorHAnsi"/>
                <w:lang w:eastAsia="en-US"/>
              </w:rPr>
            </w:pPr>
            <w:r w:rsidRPr="00B95778">
              <w:rPr>
                <w:rFonts w:eastAsiaTheme="minorHAnsi"/>
                <w:lang w:eastAsia="en-US"/>
              </w:rPr>
              <w:t xml:space="preserve">36. Šo noteikumu </w:t>
            </w:r>
            <w:r w:rsidRPr="00B95778">
              <w:rPr>
                <w:rFonts w:eastAsia="Calibri"/>
              </w:rPr>
              <w:t xml:space="preserve">22., 24., 26., 28., 30. un 32.punkta </w:t>
            </w:r>
            <w:r w:rsidRPr="00B95778">
              <w:rPr>
                <w:rFonts w:eastAsiaTheme="minorHAnsi"/>
                <w:lang w:eastAsia="en-US"/>
              </w:rPr>
              <w:t xml:space="preserve">prasību izpildes novērtēšanai, </w:t>
            </w:r>
            <w:r w:rsidRPr="00B95778">
              <w:rPr>
                <w:rFonts w:eastAsiaTheme="minorHAnsi"/>
                <w:lang w:eastAsia="en-US"/>
              </w:rPr>
              <w:lastRenderedPageBreak/>
              <w:t>pirms drošības apliecības izdošanas Inspekcija var veikt arī novērtējumu komersanta objektos.</w:t>
            </w:r>
          </w:p>
          <w:p w:rsidRPr="00823410" w:rsidR="007C4AAF" w:rsidP="007C4AAF" w:rsidRDefault="00816E6C" w14:paraId="32A809E2" w14:textId="69FFA478">
            <w:pPr>
              <w:ind w:left="57" w:right="57"/>
              <w:jc w:val="both"/>
              <w:rPr>
                <w:highlight w:val="yellow"/>
              </w:rPr>
            </w:pPr>
            <w:r w:rsidRPr="00B95778">
              <w:t>46.</w:t>
            </w:r>
            <w:r w:rsidRPr="00B95778">
              <w:rPr>
                <w:i/>
              </w:rPr>
              <w:t xml:space="preserve"> </w:t>
            </w:r>
            <w:r w:rsidRPr="00B95778">
              <w:t>Atjaunojot drošības apliecību, Inspekcija izmanto arī uzraudzības laikā iegūto informāciju. Ja komersants nespēj izpildīt attiecīgās šo noteikumu 22., 24., 26., 28., 30. un 32.punkta prasības un konsekventi tās piemērot, Inspekcija atsaka drošības apliecības atjaunošanu.</w:t>
            </w:r>
          </w:p>
        </w:tc>
      </w:tr>
      <w:tr w:rsidRPr="00823410" w:rsidR="00C77882" w:rsidTr="00982A1C" w14:paraId="4278052F"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0B970397" w14:textId="4C6F1D53">
            <w:pPr>
              <w:ind w:left="360" w:hanging="352"/>
              <w:jc w:val="both"/>
              <w:rPr>
                <w:bCs/>
              </w:rPr>
            </w:pPr>
            <w:r w:rsidRPr="005008E4">
              <w:rPr>
                <w:bCs/>
              </w:rPr>
              <w:lastRenderedPageBreak/>
              <w:t>20.</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AE705D" w14:paraId="3B71626A" w14:textId="5A5E725B">
            <w:pPr>
              <w:jc w:val="both"/>
            </w:pPr>
            <w:r w:rsidRPr="00AE705D">
              <w:t>39. Ja tas ir nepieciešams, šo noteikumu 24., 26., 28., 30., 32. un 34.punkta prasību izpildes novērtēšanai, pirms drošības apliecības izdošanas Inspekcija var veikt arī novērtējumu komersanta objektos</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07D95CF2" w14:textId="02C92105">
            <w:pPr>
              <w:jc w:val="both"/>
            </w:pPr>
            <w:r w:rsidRPr="009656F5">
              <w:t>Lūdzam projekta 39. punktā identificēt gadījumus, kas ir vārdu savienojuma “ja nepieciešams” tvērumā, tādējādi nodrošinot, ka minētā norma tiek piemērota vienveidīgi.</w:t>
            </w:r>
          </w:p>
        </w:tc>
        <w:tc>
          <w:tcPr>
            <w:tcW w:w="2126" w:type="dxa"/>
            <w:tcBorders>
              <w:left w:val="single" w:color="000000" w:sz="6" w:space="0"/>
              <w:bottom w:val="single" w:color="auto" w:sz="4" w:space="0"/>
              <w:right w:val="single" w:color="000000" w:sz="6" w:space="0"/>
            </w:tcBorders>
            <w:shd w:val="clear" w:color="auto" w:fill="auto"/>
          </w:tcPr>
          <w:p w:rsidR="00C77882" w:rsidP="00B77A4B" w:rsidRDefault="00FD5A1B" w14:paraId="1C9FDE96" w14:textId="77777777">
            <w:pPr>
              <w:autoSpaceDE w:val="0"/>
              <w:autoSpaceDN w:val="0"/>
              <w:adjustRightInd w:val="0"/>
              <w:jc w:val="center"/>
              <w:rPr>
                <w:b/>
              </w:rPr>
            </w:pPr>
            <w:r w:rsidRPr="00FD5A1B">
              <w:rPr>
                <w:b/>
              </w:rPr>
              <w:t>Ņemts vērā.</w:t>
            </w:r>
          </w:p>
          <w:p w:rsidRPr="00823410" w:rsidR="00AE705D" w:rsidP="009656F5" w:rsidRDefault="00AE705D" w14:paraId="38CF5AA0" w14:textId="22551E2E">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00816E6C" w:rsidP="00816E6C" w:rsidRDefault="00816E6C" w14:paraId="28E24645" w14:textId="77777777">
            <w:pPr>
              <w:pStyle w:val="tv213"/>
              <w:shd w:val="clear" w:color="auto" w:fill="FFFFFF"/>
              <w:tabs>
                <w:tab w:val="left" w:pos="851"/>
              </w:tabs>
              <w:spacing w:before="0" w:beforeAutospacing="0" w:after="0" w:afterAutospacing="0"/>
              <w:jc w:val="both"/>
              <w:rPr>
                <w:rFonts w:eastAsiaTheme="minorHAnsi"/>
                <w:lang w:eastAsia="en-US"/>
              </w:rPr>
            </w:pPr>
            <w:r w:rsidRPr="00B95778">
              <w:rPr>
                <w:rFonts w:eastAsiaTheme="minorHAnsi"/>
                <w:lang w:eastAsia="en-US"/>
              </w:rPr>
              <w:t xml:space="preserve">36. Šo noteikumu </w:t>
            </w:r>
            <w:r w:rsidRPr="00B95778">
              <w:rPr>
                <w:rFonts w:eastAsia="Calibri"/>
              </w:rPr>
              <w:t xml:space="preserve">22., 24., 26., 28., 30. un 32.punkta </w:t>
            </w:r>
            <w:r w:rsidRPr="00B95778">
              <w:rPr>
                <w:rFonts w:eastAsiaTheme="minorHAnsi"/>
                <w:lang w:eastAsia="en-US"/>
              </w:rPr>
              <w:t>prasību izpildes novērtēšanai, pirms drošības apliecības izdošanas Inspekcija var veikt arī novērtējumu komersanta objektos</w:t>
            </w:r>
            <w:r w:rsidRPr="00EA44F7">
              <w:rPr>
                <w:rFonts w:eastAsiaTheme="minorHAnsi"/>
                <w:lang w:eastAsia="en-US"/>
              </w:rPr>
              <w:t>.</w:t>
            </w:r>
          </w:p>
          <w:p w:rsidRPr="00823410" w:rsidR="00AD41A0" w:rsidP="00AE705D" w:rsidRDefault="00AD41A0" w14:paraId="05D47423" w14:textId="525BDAB5">
            <w:pPr>
              <w:ind w:left="57" w:right="57"/>
              <w:jc w:val="both"/>
              <w:rPr>
                <w:highlight w:val="yellow"/>
              </w:rPr>
            </w:pPr>
          </w:p>
        </w:tc>
      </w:tr>
      <w:tr w:rsidRPr="00823410" w:rsidR="00C77882" w:rsidTr="001E5BAA" w14:paraId="108FE160"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33BB6442" w14:textId="79670092">
            <w:pPr>
              <w:ind w:left="360" w:hanging="352"/>
              <w:jc w:val="both"/>
              <w:rPr>
                <w:bCs/>
              </w:rPr>
            </w:pPr>
            <w:r w:rsidRPr="005008E4">
              <w:rPr>
                <w:bCs/>
              </w:rPr>
              <w:t>21.</w:t>
            </w:r>
          </w:p>
        </w:tc>
        <w:tc>
          <w:tcPr>
            <w:tcW w:w="3260" w:type="dxa"/>
            <w:gridSpan w:val="3"/>
            <w:tcBorders>
              <w:left w:val="single" w:color="000000" w:sz="6" w:space="0"/>
              <w:bottom w:val="single" w:color="auto" w:sz="4" w:space="0"/>
              <w:right w:val="single" w:color="000000" w:sz="6" w:space="0"/>
            </w:tcBorders>
            <w:shd w:val="clear" w:color="auto" w:fill="auto"/>
          </w:tcPr>
          <w:p w:rsidR="00AE705D" w:rsidP="00AE705D" w:rsidRDefault="00AE705D" w14:paraId="63913982" w14:textId="2B60ADBF">
            <w:pPr>
              <w:jc w:val="both"/>
              <w:rPr>
                <w:iCs/>
              </w:rPr>
            </w:pPr>
            <w:r w:rsidRPr="00AE705D">
              <w:rPr>
                <w:iCs/>
              </w:rPr>
              <w:t>40.7. drošības apliecības derīguma termiņu.</w:t>
            </w:r>
          </w:p>
          <w:p w:rsidRPr="00AE705D" w:rsidR="00AE705D" w:rsidP="00AE705D" w:rsidRDefault="00AE705D" w14:paraId="1E87982B" w14:textId="77777777">
            <w:pPr>
              <w:jc w:val="both"/>
              <w:rPr>
                <w:iCs/>
              </w:rPr>
            </w:pPr>
            <w:r w:rsidRPr="00AE705D">
              <w:rPr>
                <w:iCs/>
              </w:rPr>
              <w:t>50. Drošības apliecības derīguma termiņš ir pieci gadi, skaitot no lēmuma pieņemšanas dienas, izņemot:</w:t>
            </w:r>
          </w:p>
          <w:p w:rsidRPr="00AE705D" w:rsidR="00AE705D" w:rsidP="00AE705D" w:rsidRDefault="00AE705D" w14:paraId="52E56603" w14:textId="77777777">
            <w:pPr>
              <w:jc w:val="both"/>
              <w:rPr>
                <w:iCs/>
              </w:rPr>
            </w:pPr>
            <w:r w:rsidRPr="00AE705D">
              <w:rPr>
                <w:iCs/>
              </w:rPr>
              <w:t>50.1. šo noteikumu 45. un 46.punktā minētos gadījumos, kad drošības apliecību izdod uz termiņu, kas atbilst iepriekš izdotās drošības apliecības derīguma termiņam;</w:t>
            </w:r>
          </w:p>
          <w:p w:rsidR="00C77882" w:rsidP="00AE705D" w:rsidRDefault="00AE705D" w14:paraId="7F6A34D9" w14:textId="77777777">
            <w:pPr>
              <w:jc w:val="both"/>
            </w:pPr>
            <w:r w:rsidRPr="00AE705D">
              <w:rPr>
                <w:iCs/>
              </w:rPr>
              <w:lastRenderedPageBreak/>
              <w:t>50.2. šo noteikumu 48.punktā minētajā gadījumā, kad drošības apliecību izdod uz pieciem gadiem, skaitot derīguma termiņu no iepriekš izdotās drošības apliecības derīguma termiņa beigu datuma.</w:t>
            </w:r>
          </w:p>
          <w:p w:rsidR="00AE705D" w:rsidP="00AE705D" w:rsidRDefault="00AE705D" w14:paraId="7C1C246E" w14:textId="77777777">
            <w:pPr>
              <w:jc w:val="both"/>
              <w:rPr>
                <w:rFonts w:eastAsia="Calibri"/>
              </w:rPr>
            </w:pPr>
            <w:r>
              <w:rPr>
                <w:rFonts w:eastAsia="Calibri"/>
              </w:rPr>
              <w:t>68.7.sertifikāta derīguma termiņu</w:t>
            </w:r>
          </w:p>
          <w:p w:rsidRPr="00AE705D" w:rsidR="00AE705D" w:rsidP="00AE705D" w:rsidRDefault="00AE705D" w14:paraId="0D995F0B" w14:textId="77777777">
            <w:pPr>
              <w:jc w:val="both"/>
              <w:rPr>
                <w:iCs/>
              </w:rPr>
            </w:pPr>
            <w:r w:rsidRPr="00AE705D">
              <w:rPr>
                <w:iCs/>
              </w:rPr>
              <w:t>75. Šo noteikumu 56.2. apakšpunktā minētā sertifikāta derīguma termiņš ir pieci gadi, skaitot no lēmuma pieņemšanas dienas, izņemot:</w:t>
            </w:r>
          </w:p>
          <w:p w:rsidRPr="00AE705D" w:rsidR="00AE705D" w:rsidP="00AE705D" w:rsidRDefault="00AE705D" w14:paraId="4FDFD4E7" w14:textId="77777777">
            <w:pPr>
              <w:jc w:val="both"/>
              <w:rPr>
                <w:iCs/>
              </w:rPr>
            </w:pPr>
            <w:r w:rsidRPr="00AE705D">
              <w:rPr>
                <w:iCs/>
              </w:rPr>
              <w:t>75.1. šo noteikumu 72. punktā minēto gadījumu, kad sertifikātu izdod uz termiņu, kas atbilst iepriekš izdotā sertifikāta derīguma termiņam;</w:t>
            </w:r>
          </w:p>
          <w:p w:rsidRPr="00AE705D" w:rsidR="00AE705D" w:rsidP="00AE705D" w:rsidRDefault="00AE705D" w14:paraId="58F78CB1" w14:textId="77777777">
            <w:pPr>
              <w:jc w:val="both"/>
              <w:rPr>
                <w:iCs/>
              </w:rPr>
            </w:pPr>
            <w:r w:rsidRPr="00AE705D">
              <w:rPr>
                <w:iCs/>
              </w:rPr>
              <w:t>75.2. šo noteikumu 73. punktā minēto gadījumu, kad sertifikātu izdod uz pieciem gadiem, skaitot no iepriekš izdotā sertifikāta derīguma termiņa beigu datuma;</w:t>
            </w:r>
          </w:p>
          <w:p w:rsidRPr="00823410" w:rsidR="00AE705D" w:rsidP="00AE705D" w:rsidRDefault="00AE705D" w14:paraId="37021783" w14:textId="2BDD35EC">
            <w:pPr>
              <w:jc w:val="both"/>
            </w:pPr>
            <w:r w:rsidRPr="00AE705D">
              <w:rPr>
                <w:iCs/>
              </w:rPr>
              <w:t xml:space="preserve">75.3. šo noteikumu 74. punktā minēto gadījumu, kad sertifikātu izdod uz termiņu, kas ir identisks </w:t>
            </w:r>
            <w:r w:rsidRPr="00AE705D">
              <w:t xml:space="preserve">vienotā drošības </w:t>
            </w:r>
            <w:r w:rsidRPr="00AE705D">
              <w:lastRenderedPageBreak/>
              <w:t>sertifikāta vai drošības apliecības derīguma termiņam.</w:t>
            </w:r>
          </w:p>
        </w:tc>
        <w:tc>
          <w:tcPr>
            <w:tcW w:w="4253" w:type="dxa"/>
            <w:gridSpan w:val="2"/>
            <w:tcBorders>
              <w:left w:val="single" w:color="000000" w:sz="6" w:space="0"/>
              <w:bottom w:val="single" w:color="auto" w:sz="4" w:space="0"/>
              <w:right w:val="single" w:color="000000" w:sz="6" w:space="0"/>
            </w:tcBorders>
            <w:shd w:val="clear" w:color="auto" w:fill="auto"/>
          </w:tcPr>
          <w:p w:rsidRPr="004E03AC" w:rsidR="00660A31" w:rsidP="008C2315" w:rsidRDefault="009656F5" w14:paraId="43E26EA8" w14:textId="77777777">
            <w:pPr>
              <w:jc w:val="both"/>
            </w:pPr>
            <w:r w:rsidRPr="004E03AC">
              <w:lastRenderedPageBreak/>
              <w:t>Projekta 40. un 50. punktā noteikts drošības apliecības derīguma termiņš, kā arī projekta 68. un 75. punktā noteikts attiecīgā sertifikāta derīguma termiņš, bet nav skaidrs, no kuras Likuma normas izriet attiecīgs pilnvarojums Ministru kabinetam. Ievērojot minēto, lūdzam precizēt projektu vai papildināt anotāciju ar atbilstošu skaidrojumu.</w:t>
            </w:r>
          </w:p>
          <w:p w:rsidRPr="004E03AC" w:rsidR="00E85934" w:rsidP="008C2315" w:rsidRDefault="00E85934" w14:paraId="60BC014A" w14:textId="77777777">
            <w:pPr>
              <w:jc w:val="both"/>
            </w:pPr>
          </w:p>
          <w:p w:rsidRPr="004E03AC" w:rsidR="00E85934" w:rsidP="008C2315" w:rsidRDefault="00E85934" w14:paraId="5E1518FD" w14:textId="77777777">
            <w:pPr>
              <w:jc w:val="both"/>
              <w:rPr>
                <w:i/>
              </w:rPr>
            </w:pPr>
            <w:r w:rsidRPr="004E03AC">
              <w:rPr>
                <w:i/>
              </w:rPr>
              <w:t>Tieslietu ministrijas viedoklis saskaņošanā 2020.gada 16.aprīlī:</w:t>
            </w:r>
          </w:p>
          <w:p w:rsidRPr="004E03AC" w:rsidR="00E85934" w:rsidP="008C2315" w:rsidRDefault="00E85934" w14:paraId="32690AC7" w14:textId="3B978441">
            <w:pPr>
              <w:jc w:val="both"/>
              <w:rPr>
                <w:u w:val="single"/>
              </w:rPr>
            </w:pPr>
            <w:r w:rsidRPr="004E03AC">
              <w:lastRenderedPageBreak/>
              <w:t xml:space="preserve">Vēl joprojām norādām, ka projekta 37. un 47. punktā ir noteikts drošības apliecības derīguma termiņš, kā arī projekta 62. un 69. punktā ir noteikts attiecīgā sertifikāta derīguma termiņš, bet nav skaidrs, no kuras Dzelzceļa likuma, kas stāsies spēkā 2020. gada 16. jūnijā, (turpmāk – likums) tiesību normas izriet attiecīgs pilnvarojums Ministru kabinetam. Ievērojot minēto, lūdzam precizēt projektu vai papildināt anotāciju  ar atbilstošu skaidrojumu. </w:t>
            </w:r>
            <w:r w:rsidRPr="004E03AC">
              <w:rPr>
                <w:u w:val="single"/>
              </w:rPr>
              <w:t>Uzsveram, ka šis jautājums tieši saistīts ar likuma, nevis Eiropas Savienības tiesību akta, tvērumu.</w:t>
            </w:r>
          </w:p>
          <w:p w:rsidRPr="004E03AC" w:rsidR="00A32F47" w:rsidP="008C2315" w:rsidRDefault="00A32F47" w14:paraId="3EB978F2" w14:textId="6C61B2C1">
            <w:pPr>
              <w:jc w:val="both"/>
              <w:rPr>
                <w:u w:val="single"/>
              </w:rPr>
            </w:pPr>
          </w:p>
          <w:p w:rsidRPr="004E03AC" w:rsidR="00A32F47" w:rsidP="008C2315" w:rsidRDefault="00A32F47" w14:paraId="7B1383F4" w14:textId="77777777">
            <w:pPr>
              <w:jc w:val="both"/>
              <w:rPr>
                <w:u w:val="single"/>
              </w:rPr>
            </w:pPr>
          </w:p>
          <w:p w:rsidRPr="004E03AC" w:rsidR="00C73C8F" w:rsidP="008C2315" w:rsidRDefault="00C73C8F" w14:paraId="10D11F06" w14:textId="6B00B512">
            <w:pPr>
              <w:jc w:val="both"/>
              <w:rPr>
                <w:i/>
              </w:rPr>
            </w:pPr>
            <w:r w:rsidRPr="004E03AC">
              <w:rPr>
                <w:i/>
              </w:rPr>
              <w:t>Tieslietu ministrijas viedoklis saskaņošanā 2020.gada 27.aprīlī:</w:t>
            </w:r>
          </w:p>
          <w:p w:rsidRPr="004E03AC" w:rsidR="00C73C8F" w:rsidP="008C2315" w:rsidRDefault="00C73C8F" w14:paraId="5C9F2E39" w14:textId="77777777">
            <w:pPr>
              <w:jc w:val="both"/>
            </w:pPr>
            <w:r w:rsidRPr="004E03AC">
              <w:t>Tieslietu ministrija uztur šādu iebildumu:</w:t>
            </w:r>
          </w:p>
          <w:p w:rsidRPr="004E03AC" w:rsidR="00C73C8F" w:rsidP="008C2315" w:rsidRDefault="00C73C8F" w14:paraId="61BD1F7D" w14:textId="77777777">
            <w:pPr>
              <w:jc w:val="both"/>
            </w:pPr>
            <w:r w:rsidRPr="004E03AC">
              <w:t xml:space="preserve">Projekta 37. un 47. punktā ir noteikts drošības apliecības derīguma termiņš, kā arī projekta 62. un 69. punktā ir noteikts attiecīgā sertifikāta derīguma termiņš, bet nav skaidrs, no kuras Dzelzceļa likuma, kas stāsies spēkā 2020. gada 16. jūnijā, (turpmāk – likums) tiesību normas izriet attiecīgs pilnvarojums Ministru kabinetam. Projekta sākotnējās (ex-ante) ietekmes novērtējuma ziņojumā (turpmāk – anotācija) ir norādīts, ka attiecīgo </w:t>
            </w:r>
            <w:r w:rsidRPr="004E03AC">
              <w:lastRenderedPageBreak/>
              <w:t>termiņu noteikšana izriet no attiecīgajiem Eiropas Savienības tiesību aktiem, kā arī likuma 35.</w:t>
            </w:r>
            <w:r w:rsidRPr="004E03AC">
              <w:rPr>
                <w:vertAlign w:val="superscript"/>
              </w:rPr>
              <w:t>1</w:t>
            </w:r>
            <w:r w:rsidRPr="004E03AC">
              <w:t xml:space="preserve"> panta trešajā daļā un 35.</w:t>
            </w:r>
            <w:r w:rsidRPr="004E03AC">
              <w:rPr>
                <w:vertAlign w:val="superscript"/>
              </w:rPr>
              <w:t>2</w:t>
            </w:r>
            <w:r w:rsidRPr="004E03AC">
              <w:t xml:space="preserve"> panta trešajā daļā ietvertā pilnvarojuma Ministru kabinetam. Vēršam uzmanību uz to, ak iepriekš minētajās likuma tiesību normās nav ietverts pilnvarojums Ministru kabinetam. Ievērojot minēto, lūdzam precizēt projektu vai papildināt anotāciju ar atbilstošu skaidrojumu.</w:t>
            </w:r>
          </w:p>
          <w:p w:rsidRPr="004E03AC" w:rsidR="00C73C8F" w:rsidP="008C2315" w:rsidRDefault="00C73C8F" w14:paraId="2F6DF5FF" w14:textId="65681A75">
            <w:pPr>
              <w:jc w:val="both"/>
            </w:pPr>
            <w:r w:rsidRPr="004E03AC">
              <w:t>Atkārtoti skaidrojam, ka skaidri apzināmies, ka regulējums izriet no Eiropas Savienības tiesību aktiem, bet šeit jautājums ir par to, vai regulējums izriet no projekta pilnvarojošām normām. Pašlaik Tieslietu ministrija uzskata, ka nē. Attiecīgi regulējums jāietver citā normatīvajā aktā, jāpapildina projekta izdošanas tiesiskais pamats vai ļoti skrupulozi anotācijā jāpamato, kādēļ projekta normas izriet no pašreizējā projekta izdošanas tiesiskā pamata.</w:t>
            </w:r>
          </w:p>
          <w:p w:rsidRPr="004E03AC" w:rsidR="000E3556" w:rsidP="008C2315" w:rsidRDefault="000E3556" w14:paraId="65CBE5F3" w14:textId="77777777">
            <w:pPr>
              <w:jc w:val="both"/>
            </w:pPr>
          </w:p>
          <w:p w:rsidRPr="004E03AC" w:rsidR="00EE5B00" w:rsidP="008C2315" w:rsidRDefault="00EE5B00" w14:paraId="282B5362" w14:textId="45384EAB">
            <w:pPr>
              <w:jc w:val="both"/>
              <w:rPr>
                <w:i/>
              </w:rPr>
            </w:pPr>
            <w:r w:rsidRPr="004E03AC">
              <w:rPr>
                <w:i/>
              </w:rPr>
              <w:t xml:space="preserve">Tieslietu ministrijas viedoklis saskaņošanā 2020.gada </w:t>
            </w:r>
            <w:r w:rsidRPr="004E03AC" w:rsidR="00F764D7">
              <w:rPr>
                <w:i/>
              </w:rPr>
              <w:t>6</w:t>
            </w:r>
            <w:r w:rsidRPr="004E03AC">
              <w:rPr>
                <w:i/>
              </w:rPr>
              <w:t>.</w:t>
            </w:r>
            <w:r w:rsidRPr="004E03AC" w:rsidR="00F764D7">
              <w:rPr>
                <w:i/>
              </w:rPr>
              <w:t>maijā</w:t>
            </w:r>
            <w:r w:rsidRPr="004E03AC">
              <w:rPr>
                <w:i/>
              </w:rPr>
              <w:t>:</w:t>
            </w:r>
          </w:p>
          <w:p w:rsidRPr="004E03AC" w:rsidR="000D7C0E" w:rsidP="008C2315" w:rsidRDefault="000D7C0E" w14:paraId="551F7331" w14:textId="77777777">
            <w:pPr>
              <w:jc w:val="both"/>
              <w:rPr>
                <w:color w:val="000000"/>
                <w:sz w:val="22"/>
                <w:szCs w:val="22"/>
              </w:rPr>
            </w:pPr>
            <w:r w:rsidRPr="004E03AC">
              <w:rPr>
                <w:color w:val="000000"/>
              </w:rPr>
              <w:t xml:space="preserve">Diemžēl izziņas 21. punkts paliks nesaskaņots, gan iepriekš norādīto iemeslu dēļ saistībā ar nacionālo prasību, nevis Eiropas Savienības prasību ievērošanu, gan tādēļ, ka “kritēriju” </w:t>
            </w:r>
            <w:r w:rsidRPr="004E03AC">
              <w:rPr>
                <w:color w:val="000000"/>
              </w:rPr>
              <w:lastRenderedPageBreak/>
              <w:t>tvērums, it sevišķi administratīvo tiesību kontekstā nav saistīts ar termiņa noteikšanu.</w:t>
            </w:r>
          </w:p>
          <w:p w:rsidRPr="004E03AC" w:rsidR="00C73C8F" w:rsidP="00A270CE" w:rsidRDefault="000D7C0E" w14:paraId="664CC6C4" w14:textId="7B2E86B2">
            <w:pPr>
              <w:jc w:val="both"/>
            </w:pPr>
            <w:r w:rsidRPr="004E03AC">
              <w:rPr>
                <w:color w:val="000000"/>
              </w:rPr>
              <w:t>Atkārtoti norādām uz to, ka projekta 37. un 47. punktā ir noteikts drošības apliecības derīguma termiņš, kā arī projekta 62. un 69. punktā ir noteikts attiecīgā sertifikāta derīguma termiņš, bet nav skaidrs, no kuras Dzelzceļa likuma, kas stāsies spēkā 2020. gada 16. jūnijā, (turpmāk – likums) tiesību normas izriet attiecīgs pilnvarojums Ministru kabinetam. Projekta sākotnējās (ex-ante) ietekmes novērtējuma ziņojumā (turpmāk – anotācija) ir norādīts, ka attiecīgo termiņu noteikšana izriet no attiecīgajiem Eiropas Savienības tiesību aktiem, kā arī likuma 35.</w:t>
            </w:r>
            <w:r w:rsidRPr="004E03AC">
              <w:rPr>
                <w:color w:val="000000"/>
                <w:vertAlign w:val="superscript"/>
              </w:rPr>
              <w:t>1</w:t>
            </w:r>
            <w:r w:rsidRPr="004E03AC">
              <w:rPr>
                <w:color w:val="000000"/>
              </w:rPr>
              <w:t xml:space="preserve"> panta otrajā daļā un 35.</w:t>
            </w:r>
            <w:r w:rsidRPr="004E03AC">
              <w:rPr>
                <w:color w:val="000000"/>
                <w:vertAlign w:val="superscript"/>
              </w:rPr>
              <w:t>2</w:t>
            </w:r>
            <w:r w:rsidRPr="004E03AC">
              <w:rPr>
                <w:color w:val="000000"/>
              </w:rPr>
              <w:t xml:space="preserve"> panta septītajā daļā ietvertā pilnvarojuma Ministru kabinetam, tomēr vēršam uzmanību uz to, ka, Tieslietu ministrijas ieskatā, no iepriekš minētajām likuma tiesību normām neizriet attiecīgs pilnvarojums Ministru kabinetam. Vienlaikus norādām uz to, ka Administratīvā procesa likuma 64. panta pirmā daļa noteic, ka gadījumā, ja administratīvā lieta ierosināta uz iesnieguma pamata, iestāde pieņem lēmumu par administratīvā akta izdošanu </w:t>
            </w:r>
            <w:r w:rsidRPr="004E03AC">
              <w:rPr>
                <w:color w:val="000000"/>
              </w:rPr>
              <w:lastRenderedPageBreak/>
              <w:t>viena mēneša laikā no iesnieguma saņemšanas dienas, ja likumā nav noteikts cits termiņš vai citā normatīvajā aktā – īsāks termiņš administratīvā akta izdošanai. Savukārt projekta 45. un 67. punkts paredz, ka iesniegums ir jāiesniedz 12 mēnešus pirms attiecīgās apliecības vai sertifikāta darbības termiņa beigām, bet šāda regulējuma paredzēšana projektā neizriet no likuma 35.</w:t>
            </w:r>
            <w:r w:rsidRPr="004E03AC">
              <w:rPr>
                <w:color w:val="000000"/>
                <w:vertAlign w:val="superscript"/>
              </w:rPr>
              <w:t>1</w:t>
            </w:r>
            <w:r w:rsidRPr="004E03AC">
              <w:rPr>
                <w:color w:val="000000"/>
              </w:rPr>
              <w:t xml:space="preserve"> panta otrajā daļā un 35.</w:t>
            </w:r>
            <w:r w:rsidRPr="004E03AC">
              <w:rPr>
                <w:color w:val="000000"/>
                <w:vertAlign w:val="superscript"/>
              </w:rPr>
              <w:t>2</w:t>
            </w:r>
            <w:r w:rsidRPr="004E03AC">
              <w:rPr>
                <w:color w:val="000000"/>
              </w:rPr>
              <w:t xml:space="preserve"> panta septītajā daļā ietvertā pilnvarojuma Ministru kabinetam. Līdz ar to šis regulējums neatbilst ne likuma 35.</w:t>
            </w:r>
            <w:r w:rsidRPr="004E03AC">
              <w:rPr>
                <w:color w:val="000000"/>
                <w:vertAlign w:val="superscript"/>
              </w:rPr>
              <w:t>1</w:t>
            </w:r>
            <w:r w:rsidRPr="004E03AC">
              <w:rPr>
                <w:color w:val="000000"/>
              </w:rPr>
              <w:t xml:space="preserve"> panta otrajā daļā un 35.</w:t>
            </w:r>
            <w:r w:rsidRPr="004E03AC">
              <w:rPr>
                <w:color w:val="000000"/>
                <w:vertAlign w:val="superscript"/>
              </w:rPr>
              <w:t xml:space="preserve">2 </w:t>
            </w:r>
            <w:r w:rsidRPr="004E03AC">
              <w:rPr>
                <w:color w:val="000000"/>
              </w:rPr>
              <w:t>panta septītajā daļā, ne Administratīvā procesa likum 64. panta pirmajā daļā paredzētajam regulējumam. Ievērojot minēto, lūdzam precizēt projektā paredzēto regulējumu un anotācijā ietverto informāciju.</w:t>
            </w:r>
          </w:p>
        </w:tc>
        <w:tc>
          <w:tcPr>
            <w:tcW w:w="2126" w:type="dxa"/>
            <w:tcBorders>
              <w:left w:val="single" w:color="000000" w:sz="6" w:space="0"/>
              <w:bottom w:val="single" w:color="auto" w:sz="4" w:space="0"/>
              <w:right w:val="single" w:color="000000" w:sz="6" w:space="0"/>
            </w:tcBorders>
            <w:shd w:val="clear" w:color="auto" w:fill="auto"/>
          </w:tcPr>
          <w:p w:rsidRPr="001E5BAA" w:rsidR="00B55798" w:rsidP="00B77A4B" w:rsidRDefault="00C73C8F" w14:paraId="0F3AD6A7" w14:textId="1353AB40">
            <w:pPr>
              <w:autoSpaceDE w:val="0"/>
              <w:autoSpaceDN w:val="0"/>
              <w:adjustRightInd w:val="0"/>
              <w:jc w:val="center"/>
              <w:rPr>
                <w:b/>
              </w:rPr>
            </w:pPr>
            <w:r>
              <w:rPr>
                <w:b/>
              </w:rPr>
              <w:lastRenderedPageBreak/>
              <w:t>Ņ</w:t>
            </w:r>
            <w:r w:rsidRPr="001E5BAA" w:rsidR="00B55798">
              <w:rPr>
                <w:b/>
              </w:rPr>
              <w:t>emts vērā</w:t>
            </w:r>
            <w:r w:rsidR="00B77A4B">
              <w:rPr>
                <w:b/>
              </w:rPr>
              <w:t>.</w:t>
            </w:r>
          </w:p>
          <w:p w:rsidR="00B77A4B" w:rsidP="009656F5" w:rsidRDefault="00B77A4B" w14:paraId="64997238" w14:textId="77777777">
            <w:pPr>
              <w:autoSpaceDE w:val="0"/>
              <w:autoSpaceDN w:val="0"/>
              <w:adjustRightInd w:val="0"/>
              <w:jc w:val="both"/>
              <w:rPr>
                <w:bCs/>
              </w:rPr>
            </w:pPr>
          </w:p>
          <w:p w:rsidRPr="00E77CD8" w:rsidR="00B55798" w:rsidP="009656F5" w:rsidRDefault="00B55798" w14:paraId="1BBCBF0C" w14:textId="188A8177">
            <w:pPr>
              <w:autoSpaceDE w:val="0"/>
              <w:autoSpaceDN w:val="0"/>
              <w:adjustRightInd w:val="0"/>
              <w:jc w:val="both"/>
              <w:rPr>
                <w:bCs/>
              </w:rPr>
            </w:pPr>
            <w:r w:rsidRPr="00E77CD8">
              <w:rPr>
                <w:bCs/>
              </w:rPr>
              <w:t xml:space="preserve">Papildināta </w:t>
            </w:r>
            <w:r w:rsidR="00AF1CE7">
              <w:rPr>
                <w:bCs/>
              </w:rPr>
              <w:t xml:space="preserve">projekta </w:t>
            </w:r>
            <w:r w:rsidRPr="00E77CD8">
              <w:rPr>
                <w:bCs/>
              </w:rPr>
              <w:t>anotācija</w:t>
            </w:r>
            <w:r w:rsidRPr="00E77CD8" w:rsidR="00C73C8F">
              <w:rPr>
                <w:bCs/>
              </w:rPr>
              <w:t xml:space="preserve"> ar atbilstošu skaidrojumu</w:t>
            </w:r>
            <w:r w:rsidR="00B77A4B">
              <w:rPr>
                <w:bCs/>
              </w:rPr>
              <w:t>.</w:t>
            </w:r>
          </w:p>
          <w:p w:rsidRPr="001E5BAA" w:rsidR="00B55798" w:rsidP="009656F5" w:rsidRDefault="00B55798" w14:paraId="32F9DD4B" w14:textId="77777777">
            <w:pPr>
              <w:autoSpaceDE w:val="0"/>
              <w:autoSpaceDN w:val="0"/>
              <w:adjustRightInd w:val="0"/>
              <w:jc w:val="both"/>
              <w:rPr>
                <w:b/>
              </w:rPr>
            </w:pPr>
          </w:p>
          <w:p w:rsidRPr="001E5BAA" w:rsidR="00904D5F" w:rsidP="00904D5F" w:rsidRDefault="00904D5F" w14:paraId="2A7246AA" w14:textId="0D2824F7">
            <w:pPr>
              <w:autoSpaceDE w:val="0"/>
              <w:autoSpaceDN w:val="0"/>
              <w:adjustRightInd w:val="0"/>
              <w:jc w:val="both"/>
              <w:rPr>
                <w:b/>
              </w:rPr>
            </w:pPr>
          </w:p>
        </w:tc>
        <w:tc>
          <w:tcPr>
            <w:tcW w:w="4278" w:type="dxa"/>
            <w:gridSpan w:val="3"/>
            <w:tcBorders>
              <w:top w:val="single" w:color="auto" w:sz="4" w:space="0"/>
              <w:left w:val="single" w:color="auto" w:sz="4" w:space="0"/>
              <w:bottom w:val="single" w:color="auto" w:sz="4" w:space="0"/>
            </w:tcBorders>
            <w:shd w:val="clear" w:color="auto" w:fill="auto"/>
          </w:tcPr>
          <w:p w:rsidRPr="00904D5F" w:rsidR="00CE557E" w:rsidP="00CE557E" w:rsidRDefault="00816E6C" w14:paraId="245FE8D3" w14:textId="41EB404B">
            <w:pPr>
              <w:ind w:left="57" w:right="57"/>
              <w:jc w:val="both"/>
            </w:pPr>
            <w:r w:rsidRPr="00904D5F">
              <w:t>37</w:t>
            </w:r>
            <w:r w:rsidRPr="00904D5F" w:rsidR="00CE557E">
              <w:t>.7. drošības apliecības darbības termiņu.</w:t>
            </w:r>
          </w:p>
          <w:p w:rsidRPr="00904D5F" w:rsidR="00816E6C" w:rsidP="00816E6C" w:rsidRDefault="00816E6C" w14:paraId="74048B63" w14:textId="77777777">
            <w:pPr>
              <w:shd w:val="clear" w:color="auto" w:fill="FFFFFF"/>
              <w:jc w:val="both"/>
              <w:rPr>
                <w:rFonts w:eastAsia="Calibri"/>
                <w:iCs/>
              </w:rPr>
            </w:pPr>
            <w:r w:rsidRPr="00904D5F">
              <w:rPr>
                <w:rFonts w:eastAsia="Calibri"/>
                <w:iCs/>
              </w:rPr>
              <w:t>47. Drošības apliecības darbības termiņš ir pieci gadi, skaitot no lēmuma pieņemšanas dienas, izņemot:</w:t>
            </w:r>
          </w:p>
          <w:p w:rsidRPr="00904D5F" w:rsidR="00816E6C" w:rsidP="00816E6C" w:rsidRDefault="00816E6C" w14:paraId="6D644F3F" w14:textId="77777777">
            <w:pPr>
              <w:shd w:val="clear" w:color="auto" w:fill="FFFFFF"/>
              <w:jc w:val="both"/>
              <w:rPr>
                <w:rFonts w:eastAsia="Calibri"/>
                <w:iCs/>
              </w:rPr>
            </w:pPr>
            <w:r w:rsidRPr="00904D5F">
              <w:rPr>
                <w:rFonts w:eastAsia="Calibri"/>
                <w:iCs/>
              </w:rPr>
              <w:t>47.1. šo noteikumu 42. un 43.punktā minētos gadījumos, kad drošības apliecību izdod uz termiņu, kas atbilst iepriekš izdotās drošības apliecības darbības termiņam;</w:t>
            </w:r>
          </w:p>
          <w:p w:rsidRPr="00904D5F" w:rsidR="00CE557E" w:rsidP="00261291" w:rsidRDefault="00816E6C" w14:paraId="38CE9EA9" w14:textId="0A0E1002">
            <w:pPr>
              <w:pStyle w:val="tv213"/>
              <w:shd w:val="clear" w:color="auto" w:fill="FFFFFF"/>
              <w:spacing w:before="0" w:beforeAutospacing="0" w:after="0" w:afterAutospacing="0"/>
              <w:jc w:val="both"/>
            </w:pPr>
            <w:r w:rsidRPr="00904D5F">
              <w:rPr>
                <w:rFonts w:eastAsia="Calibri"/>
                <w:iCs/>
              </w:rPr>
              <w:t xml:space="preserve">47.2. šo noteikumu 45.punktā minētajā gadījumā, kad drošības apliecību izdod uz </w:t>
            </w:r>
            <w:r w:rsidRPr="00261291" w:rsidR="00261291">
              <w:rPr>
                <w:rFonts w:eastAsia="Calibri"/>
                <w:iCs/>
              </w:rPr>
              <w:t xml:space="preserve">termiņu, kas beidzas attiecīgajā dienā, </w:t>
            </w:r>
            <w:r w:rsidRPr="00261291" w:rsidR="00261291">
              <w:rPr>
                <w:rFonts w:eastAsia="Calibri"/>
                <w:iCs/>
              </w:rPr>
              <w:lastRenderedPageBreak/>
              <w:t>skaitot piecus gadus</w:t>
            </w:r>
            <w:r w:rsidR="00261291">
              <w:rPr>
                <w:rFonts w:eastAsia="Calibri"/>
                <w:iCs/>
              </w:rPr>
              <w:t xml:space="preserve"> no iepriekš izdotās drošības apliecības darbības termiņa beigu datuma.</w:t>
            </w:r>
          </w:p>
          <w:p w:rsidRPr="00904D5F" w:rsidR="00CE557E" w:rsidP="00CE557E" w:rsidRDefault="00CE557E" w14:paraId="69A9849F" w14:textId="30DC0C79">
            <w:pPr>
              <w:ind w:left="57" w:right="57"/>
              <w:jc w:val="both"/>
            </w:pPr>
            <w:r w:rsidRPr="00904D5F">
              <w:t>6</w:t>
            </w:r>
            <w:r w:rsidRPr="00904D5F" w:rsidR="00C66C2B">
              <w:t>2</w:t>
            </w:r>
            <w:r w:rsidRPr="00904D5F">
              <w:t>.7.sertifikāta darbības termiņu</w:t>
            </w:r>
          </w:p>
          <w:p w:rsidRPr="00904D5F" w:rsidR="00C66C2B" w:rsidP="00C66C2B" w:rsidRDefault="00C66C2B" w14:paraId="5316ACE0" w14:textId="77777777">
            <w:pPr>
              <w:shd w:val="clear" w:color="auto" w:fill="FFFFFF"/>
              <w:jc w:val="both"/>
              <w:rPr>
                <w:rFonts w:eastAsia="Calibri"/>
                <w:iCs/>
              </w:rPr>
            </w:pPr>
            <w:r w:rsidRPr="00904D5F">
              <w:rPr>
                <w:rFonts w:eastAsia="Calibri"/>
                <w:iCs/>
              </w:rPr>
              <w:t>69. Šo noteikumu 51.2. apakšpunktā minētā sertifikāta darbības termiņš ir pieci gadi, skaitot no lēmuma pieņemšanas dienas, izņemot:</w:t>
            </w:r>
          </w:p>
          <w:p w:rsidRPr="00904D5F" w:rsidR="00C66C2B" w:rsidP="00C66C2B" w:rsidRDefault="00C66C2B" w14:paraId="27F301F7" w14:textId="77777777">
            <w:pPr>
              <w:shd w:val="clear" w:color="auto" w:fill="FFFFFF"/>
              <w:jc w:val="both"/>
              <w:rPr>
                <w:rFonts w:eastAsia="Calibri"/>
                <w:iCs/>
              </w:rPr>
            </w:pPr>
            <w:r w:rsidRPr="00904D5F">
              <w:rPr>
                <w:rFonts w:eastAsia="Calibri"/>
                <w:iCs/>
              </w:rPr>
              <w:t>69.1. šo noteikumu 66. punktā minēto gadījumu, kad sertifikātu izdod uz termiņu, kas atbilst iepriekš izdotā sertifikāta darbības termiņam;</w:t>
            </w:r>
          </w:p>
          <w:p w:rsidR="00580793" w:rsidP="00580793" w:rsidRDefault="00C66C2B" w14:paraId="123F8ACB" w14:textId="1FFD26AF">
            <w:pPr>
              <w:shd w:val="clear" w:color="auto" w:fill="FFFFFF"/>
              <w:jc w:val="both"/>
              <w:rPr>
                <w:rFonts w:eastAsia="Calibri"/>
                <w:iCs/>
              </w:rPr>
            </w:pPr>
            <w:r w:rsidRPr="00904D5F">
              <w:rPr>
                <w:rFonts w:eastAsia="Calibri"/>
                <w:iCs/>
              </w:rPr>
              <w:t xml:space="preserve">69.2. šo noteikumu 67. punktā minēto gadījumu, kad sertifikātu izdod uz </w:t>
            </w:r>
            <w:r w:rsidRPr="00580793" w:rsidR="00580793">
              <w:rPr>
                <w:rFonts w:eastAsia="Calibri"/>
                <w:iCs/>
              </w:rPr>
              <w:t xml:space="preserve">termiņu, kas beidzas attiecīgajā dienā, skaitot piecus gadus </w:t>
            </w:r>
            <w:r w:rsidR="00580793">
              <w:rPr>
                <w:rFonts w:eastAsia="Calibri"/>
                <w:iCs/>
              </w:rPr>
              <w:t>no iepriekš izdotā sertifikāta darbības termiņa beigu datuma;</w:t>
            </w:r>
          </w:p>
          <w:p w:rsidRPr="00BD2653" w:rsidR="00CE557E" w:rsidP="00C66C2B" w:rsidRDefault="00C66C2B" w14:paraId="7D0DAC17" w14:textId="657A5D06">
            <w:pPr>
              <w:ind w:left="57" w:right="57"/>
              <w:jc w:val="both"/>
            </w:pPr>
            <w:r w:rsidRPr="00904D5F">
              <w:rPr>
                <w:rFonts w:eastAsia="Calibri"/>
                <w:iCs/>
              </w:rPr>
              <w:t xml:space="preserve">69.3. šo noteikumu 68. punktā minēto gadījumu, kad sertifikātu izdod uz termiņu, kas ir identisks </w:t>
            </w:r>
            <w:r w:rsidRPr="00904D5F">
              <w:rPr>
                <w:rFonts w:eastAsia="Calibri"/>
              </w:rPr>
              <w:t>vienotā drošības sertifikāta vai drošības apliecības darbības termiņam.</w:t>
            </w:r>
          </w:p>
        </w:tc>
      </w:tr>
      <w:tr w:rsidRPr="00823410" w:rsidR="00C77882" w:rsidTr="001E5BAA" w14:paraId="34179B53"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720E1CB8" w14:textId="5F4990F2">
            <w:pPr>
              <w:ind w:left="360" w:hanging="352"/>
              <w:jc w:val="both"/>
              <w:rPr>
                <w:bCs/>
              </w:rPr>
            </w:pPr>
            <w:r w:rsidRPr="005008E4">
              <w:rPr>
                <w:bCs/>
              </w:rPr>
              <w:lastRenderedPageBreak/>
              <w:t>22.</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201C57" w:rsidRDefault="00AE705D" w14:paraId="2270BC47" w14:textId="00A3E3E2">
            <w:pPr>
              <w:jc w:val="both"/>
            </w:pPr>
            <w:r w:rsidRPr="00AE705D">
              <w:t xml:space="preserve">47. Ja tieši piemērojamie Eiropas Savienības tiesību akti vai nacionālās prasības būtiski maina drošības apliecības nosacījumus, pēc Inspekcijas pieprasījuma komersants iesniedz iesniegumu drošības apliecības atjaunošanai neatkarīgi no spēkā esošās </w:t>
            </w:r>
            <w:bookmarkStart w:name="_Hlk31183298" w:id="0"/>
            <w:r w:rsidRPr="00AE705D">
              <w:t>drošības apliecības derīguma termiņa</w:t>
            </w:r>
            <w:bookmarkEnd w:id="0"/>
            <w:r w:rsidRPr="00AE705D">
              <w:t>.</w:t>
            </w:r>
          </w:p>
        </w:tc>
        <w:tc>
          <w:tcPr>
            <w:tcW w:w="4253" w:type="dxa"/>
            <w:gridSpan w:val="2"/>
            <w:tcBorders>
              <w:left w:val="single" w:color="000000" w:sz="6" w:space="0"/>
              <w:bottom w:val="single" w:color="auto" w:sz="4" w:space="0"/>
              <w:right w:val="single" w:color="000000" w:sz="6" w:space="0"/>
            </w:tcBorders>
            <w:shd w:val="clear" w:color="auto" w:fill="auto"/>
          </w:tcPr>
          <w:p w:rsidR="00660A31" w:rsidP="009656F5" w:rsidRDefault="009656F5" w14:paraId="69CF0F36" w14:textId="77777777">
            <w:pPr>
              <w:jc w:val="both"/>
            </w:pPr>
            <w:r w:rsidRPr="009656F5">
              <w:t>Lūdzam svītrot projekta 47. punktu, jo tas dublē APL 15. panta sesto, astoto un devīto daļu.</w:t>
            </w:r>
          </w:p>
          <w:p w:rsidR="00E85934" w:rsidP="009656F5" w:rsidRDefault="00E85934" w14:paraId="478779D0" w14:textId="77777777">
            <w:pPr>
              <w:jc w:val="both"/>
            </w:pPr>
          </w:p>
          <w:p w:rsidRPr="00DB45F0" w:rsidR="00E85934" w:rsidP="009656F5" w:rsidRDefault="00E85934" w14:paraId="67F9A5F5" w14:textId="77777777">
            <w:pPr>
              <w:jc w:val="both"/>
              <w:rPr>
                <w:i/>
              </w:rPr>
            </w:pPr>
            <w:r w:rsidRPr="00DB45F0">
              <w:rPr>
                <w:i/>
              </w:rPr>
              <w:t>Tieslietu ministrijas viedoklis saskaņošanā 2020.gada 16.aprīlī:</w:t>
            </w:r>
          </w:p>
          <w:p w:rsidRPr="009656F5" w:rsidR="00E85934" w:rsidP="009656F5" w:rsidRDefault="00E85934" w14:paraId="59F3A5F7" w14:textId="6C4382DC">
            <w:pPr>
              <w:jc w:val="both"/>
            </w:pPr>
            <w:r w:rsidRPr="00DB45F0">
              <w:rPr>
                <w:lang w:eastAsia="en-US"/>
              </w:rPr>
              <w:t xml:space="preserve">Vēršam uzmanību, ka atbilstības tabulā var norādīt, ka attiecīgā Eiropas Savienības direktīvas prasība jau pārņemta citā nacionālajā normatīvajā aktā – šajā gadījumā – Administratīvā </w:t>
            </w:r>
            <w:r w:rsidRPr="00DB45F0">
              <w:rPr>
                <w:lang w:eastAsia="en-US"/>
              </w:rPr>
              <w:lastRenderedPageBreak/>
              <w:t>procesa likuma 15. panta sestajā, astotajā un  devītajā daļā.</w:t>
            </w:r>
          </w:p>
        </w:tc>
        <w:tc>
          <w:tcPr>
            <w:tcW w:w="2126" w:type="dxa"/>
            <w:tcBorders>
              <w:left w:val="single" w:color="000000" w:sz="6" w:space="0"/>
              <w:bottom w:val="single" w:color="auto" w:sz="4" w:space="0"/>
              <w:right w:val="single" w:color="000000" w:sz="6" w:space="0"/>
            </w:tcBorders>
            <w:shd w:val="clear" w:color="auto" w:fill="auto"/>
          </w:tcPr>
          <w:p w:rsidRPr="00904D5F" w:rsidR="00C77882" w:rsidP="00B77A4B" w:rsidRDefault="00E77CD8" w14:paraId="524A9797" w14:textId="735C3344">
            <w:pPr>
              <w:autoSpaceDE w:val="0"/>
              <w:autoSpaceDN w:val="0"/>
              <w:adjustRightInd w:val="0"/>
              <w:jc w:val="center"/>
              <w:rPr>
                <w:b/>
              </w:rPr>
            </w:pPr>
            <w:r>
              <w:rPr>
                <w:b/>
              </w:rPr>
              <w:lastRenderedPageBreak/>
              <w:t xml:space="preserve">Panākta vienošanās saskaņošanas </w:t>
            </w:r>
            <w:r w:rsidR="00B77A4B">
              <w:rPr>
                <w:b/>
              </w:rPr>
              <w:t>laik</w:t>
            </w:r>
            <w:r>
              <w:rPr>
                <w:b/>
              </w:rPr>
              <w:t>ā.</w:t>
            </w:r>
          </w:p>
          <w:p w:rsidRPr="00904D5F" w:rsidR="00AE705D" w:rsidP="00AE705D" w:rsidRDefault="00AE705D" w14:paraId="0E5BDE87" w14:textId="617686B9">
            <w:pPr>
              <w:autoSpaceDE w:val="0"/>
              <w:autoSpaceDN w:val="0"/>
              <w:adjustRightInd w:val="0"/>
              <w:jc w:val="both"/>
            </w:pPr>
            <w:r w:rsidRPr="00904D5F">
              <w:t xml:space="preserve">Papildināta </w:t>
            </w:r>
            <w:r w:rsidR="00AF1CE7">
              <w:t xml:space="preserve">projekta </w:t>
            </w:r>
            <w:r w:rsidRPr="00904D5F">
              <w:t>anotācija</w:t>
            </w:r>
            <w:r w:rsidR="00AF1CE7">
              <w:t>.</w:t>
            </w:r>
          </w:p>
          <w:p w:rsidRPr="00904D5F" w:rsidR="00904D5F" w:rsidP="00AE705D" w:rsidRDefault="00904D5F" w14:paraId="364CA887" w14:textId="77777777">
            <w:pPr>
              <w:autoSpaceDE w:val="0"/>
              <w:autoSpaceDN w:val="0"/>
              <w:adjustRightInd w:val="0"/>
              <w:jc w:val="both"/>
            </w:pPr>
          </w:p>
          <w:p w:rsidRPr="00904D5F" w:rsidR="00EB3079" w:rsidP="00AE705D" w:rsidRDefault="00EB3079" w14:paraId="4ECC23A7" w14:textId="77777777">
            <w:pPr>
              <w:autoSpaceDE w:val="0"/>
              <w:autoSpaceDN w:val="0"/>
              <w:adjustRightInd w:val="0"/>
              <w:jc w:val="both"/>
            </w:pPr>
            <w:r w:rsidRPr="00904D5F">
              <w:t xml:space="preserve">Šī ir arī Direktīvas 2016/798/ES 12.panta 2.punkta </w:t>
            </w:r>
            <w:r w:rsidRPr="00904D5F">
              <w:lastRenderedPageBreak/>
              <w:t>otrās rindkopas prasība</w:t>
            </w:r>
            <w:r w:rsidRPr="00904D5F" w:rsidR="00904D5F">
              <w:t>.</w:t>
            </w:r>
          </w:p>
          <w:p w:rsidRPr="00904D5F" w:rsidR="00904D5F" w:rsidP="00AE705D" w:rsidRDefault="00904D5F" w14:paraId="35EA2679" w14:textId="77777777">
            <w:pPr>
              <w:autoSpaceDE w:val="0"/>
              <w:autoSpaceDN w:val="0"/>
              <w:adjustRightInd w:val="0"/>
              <w:jc w:val="both"/>
              <w:rPr>
                <w:b/>
              </w:rPr>
            </w:pPr>
          </w:p>
          <w:p w:rsidRPr="00DB45F0" w:rsidR="00B55798" w:rsidP="00B55798" w:rsidRDefault="00B55798" w14:paraId="7332DB14" w14:textId="67333985">
            <w:pPr>
              <w:autoSpaceDE w:val="0"/>
              <w:autoSpaceDN w:val="0"/>
              <w:adjustRightInd w:val="0"/>
              <w:jc w:val="both"/>
            </w:pPr>
            <w:r w:rsidRPr="00DB45F0">
              <w:t>Projekts nedublē Administratīvā procesa likuma 15. panta sestajā, astotajā un  devītajā daļā noteikto, bet paredz konkrētu rīcību izmaiņu gadījumā, t.i. ja tiek grozīti tieši piemērojamie Eiropas Savienības tiesību akti vai nacionālās prasības, drošības apliecība ir jāatjauno atbilstoši aktuālajai situācijai.</w:t>
            </w:r>
          </w:p>
        </w:tc>
        <w:tc>
          <w:tcPr>
            <w:tcW w:w="4278" w:type="dxa"/>
            <w:gridSpan w:val="3"/>
            <w:tcBorders>
              <w:top w:val="single" w:color="auto" w:sz="4" w:space="0"/>
              <w:left w:val="single" w:color="auto" w:sz="4" w:space="0"/>
              <w:bottom w:val="single" w:color="auto" w:sz="4" w:space="0"/>
            </w:tcBorders>
            <w:shd w:val="clear" w:color="auto" w:fill="auto"/>
          </w:tcPr>
          <w:p w:rsidR="00C77882" w:rsidP="009656F5" w:rsidRDefault="00EB3079" w14:paraId="77191BEC" w14:textId="61568A54">
            <w:pPr>
              <w:ind w:left="57" w:right="57"/>
              <w:jc w:val="both"/>
            </w:pPr>
            <w:r w:rsidRPr="00DB45F0">
              <w:lastRenderedPageBreak/>
              <w:t>4</w:t>
            </w:r>
            <w:r w:rsidRPr="00DB45F0" w:rsidR="00C66C2B">
              <w:t>4</w:t>
            </w:r>
            <w:r w:rsidRPr="00DB45F0">
              <w:t>. Ja grozījumi tieši piemērojamos Eiropas Savienības tiesību aktos vai nacionālajās prasībās maina drošības apliecības izdošanas nosacījumus, pēc Inspekcijas pieprasījuma komersants iesniedz iesniegumu drošības apliecības atjaunošanai neatkarīgi</w:t>
            </w:r>
            <w:r w:rsidRPr="00EB3079">
              <w:t xml:space="preserve"> no spēkā esošās drošības </w:t>
            </w:r>
            <w:r w:rsidRPr="00301A0B">
              <w:t>apliecības darbības</w:t>
            </w:r>
            <w:r w:rsidRPr="00EB3079">
              <w:t xml:space="preserve"> termiņa.</w:t>
            </w:r>
          </w:p>
          <w:p w:rsidR="00EB3079" w:rsidP="009656F5" w:rsidRDefault="00EB3079" w14:paraId="19512359" w14:textId="77777777">
            <w:pPr>
              <w:ind w:left="57" w:right="57"/>
              <w:jc w:val="both"/>
            </w:pPr>
          </w:p>
          <w:p w:rsidRPr="00823410" w:rsidR="00EB3079" w:rsidP="009656F5" w:rsidRDefault="00EB3079" w14:paraId="010B931E" w14:textId="7DAF67EB">
            <w:pPr>
              <w:ind w:left="57" w:right="57"/>
              <w:jc w:val="both"/>
            </w:pPr>
          </w:p>
        </w:tc>
      </w:tr>
      <w:tr w:rsidRPr="00823410" w:rsidR="00C77882" w:rsidTr="00982A1C" w14:paraId="3A31CDDD"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1FDD7463" w14:textId="72D2CB38">
            <w:pPr>
              <w:ind w:left="360" w:hanging="352"/>
              <w:jc w:val="both"/>
              <w:rPr>
                <w:bCs/>
              </w:rPr>
            </w:pPr>
            <w:r w:rsidRPr="005008E4">
              <w:rPr>
                <w:bCs/>
              </w:rPr>
              <w:t>23.</w:t>
            </w:r>
          </w:p>
        </w:tc>
        <w:tc>
          <w:tcPr>
            <w:tcW w:w="3260" w:type="dxa"/>
            <w:gridSpan w:val="3"/>
            <w:tcBorders>
              <w:left w:val="single" w:color="000000" w:sz="6" w:space="0"/>
              <w:bottom w:val="single" w:color="auto" w:sz="4" w:space="0"/>
              <w:right w:val="single" w:color="000000" w:sz="6" w:space="0"/>
            </w:tcBorders>
            <w:shd w:val="clear" w:color="auto" w:fill="auto"/>
          </w:tcPr>
          <w:p w:rsidR="00201C57" w:rsidP="00C77882" w:rsidRDefault="00D26D0D" w14:paraId="4FACE7D1" w14:textId="51B37447">
            <w:pPr>
              <w:jc w:val="both"/>
              <w:rPr>
                <w:rFonts w:eastAsiaTheme="minorHAnsi"/>
                <w:lang w:eastAsia="en-US"/>
              </w:rPr>
            </w:pPr>
            <w:r>
              <w:rPr>
                <w:rFonts w:eastAsiaTheme="minorHAnsi"/>
                <w:lang w:eastAsia="en-US"/>
              </w:rPr>
              <w:t xml:space="preserve">53. </w:t>
            </w:r>
            <w:r w:rsidRPr="00D41B9F">
              <w:rPr>
                <w:rFonts w:eastAsiaTheme="minorHAnsi"/>
                <w:lang w:eastAsia="en-US"/>
              </w:rPr>
              <w:t>Inspekcija lēmum</w:t>
            </w:r>
            <w:r>
              <w:rPr>
                <w:rFonts w:eastAsiaTheme="minorHAnsi"/>
                <w:lang w:eastAsia="en-US"/>
              </w:rPr>
              <w:t>u</w:t>
            </w:r>
            <w:r w:rsidRPr="00D41B9F">
              <w:rPr>
                <w:rFonts w:eastAsiaTheme="minorHAnsi"/>
                <w:lang w:eastAsia="en-US"/>
              </w:rPr>
              <w:t xml:space="preserve"> par drošības apliecības izdošanu, atjaunošanu, grozīšanu</w:t>
            </w:r>
            <w:r w:rsidRPr="0091580D">
              <w:rPr>
                <w:rFonts w:eastAsiaTheme="minorHAnsi"/>
                <w:lang w:eastAsia="en-US"/>
              </w:rPr>
              <w:t xml:space="preserve"> </w:t>
            </w:r>
            <w:r>
              <w:rPr>
                <w:rFonts w:eastAsiaTheme="minorHAnsi"/>
                <w:lang w:eastAsia="en-US"/>
              </w:rPr>
              <w:t>vai</w:t>
            </w:r>
            <w:r w:rsidRPr="0091580D">
              <w:rPr>
                <w:rFonts w:eastAsiaTheme="minorHAnsi"/>
                <w:lang w:eastAsia="en-US"/>
              </w:rPr>
              <w:t xml:space="preserve"> atsaukšan</w:t>
            </w:r>
            <w:r>
              <w:rPr>
                <w:rFonts w:eastAsiaTheme="minorHAnsi"/>
                <w:lang w:eastAsia="en-US"/>
              </w:rPr>
              <w:t>u</w:t>
            </w:r>
            <w:r w:rsidRPr="0091580D">
              <w:rPr>
                <w:rFonts w:eastAsiaTheme="minorHAnsi"/>
                <w:lang w:eastAsia="en-US"/>
              </w:rPr>
              <w:t xml:space="preserve"> </w:t>
            </w:r>
            <w:r>
              <w:rPr>
                <w:rFonts w:eastAsiaTheme="minorHAnsi"/>
                <w:lang w:eastAsia="en-US"/>
              </w:rPr>
              <w:t xml:space="preserve">normatīvajos aktos noteiktā kārtībā </w:t>
            </w:r>
            <w:r w:rsidRPr="00151950">
              <w:rPr>
                <w:rFonts w:eastAsiaTheme="minorHAnsi"/>
                <w:lang w:eastAsia="en-US"/>
              </w:rPr>
              <w:t>paziņo komersantam</w:t>
            </w:r>
            <w:r>
              <w:rPr>
                <w:rFonts w:eastAsiaTheme="minorHAnsi"/>
                <w:lang w:eastAsia="en-US"/>
              </w:rPr>
              <w:t>.</w:t>
            </w:r>
            <w:r w:rsidRPr="00151950">
              <w:rPr>
                <w:rFonts w:eastAsiaTheme="minorHAnsi"/>
                <w:lang w:eastAsia="en-US"/>
              </w:rPr>
              <w:t xml:space="preserve"> </w:t>
            </w:r>
            <w:r>
              <w:rPr>
                <w:rFonts w:eastAsiaTheme="minorHAnsi"/>
                <w:lang w:eastAsia="en-US"/>
              </w:rPr>
              <w:t>Inspekcija</w:t>
            </w:r>
            <w:r w:rsidRPr="00151950">
              <w:rPr>
                <w:rFonts w:eastAsiaTheme="minorHAnsi"/>
                <w:lang w:eastAsia="en-US"/>
              </w:rPr>
              <w:t xml:space="preserve"> </w:t>
            </w:r>
            <w:r>
              <w:rPr>
                <w:rFonts w:eastAsiaTheme="minorHAnsi"/>
                <w:lang w:eastAsia="en-US"/>
              </w:rPr>
              <w:t>informāciju par spēkā esošām drošības apliecībām</w:t>
            </w:r>
            <w:r w:rsidRPr="00151950">
              <w:rPr>
                <w:rFonts w:eastAsiaTheme="minorHAnsi"/>
                <w:lang w:eastAsia="en-US"/>
              </w:rPr>
              <w:t xml:space="preserve"> publicē savā </w:t>
            </w:r>
            <w:r>
              <w:rPr>
                <w:rFonts w:eastAsiaTheme="minorHAnsi"/>
                <w:lang w:eastAsia="en-US"/>
              </w:rPr>
              <w:t>tīmekļa vietnē</w:t>
            </w:r>
            <w:r w:rsidRPr="00151950">
              <w:rPr>
                <w:rFonts w:eastAsiaTheme="minorHAnsi"/>
                <w:lang w:eastAsia="en-US"/>
              </w:rPr>
              <w:t xml:space="preserve"> (</w:t>
            </w:r>
            <w:hyperlink w:history="1" r:id="rId8">
              <w:r w:rsidRPr="00A02F6D">
                <w:rPr>
                  <w:rStyle w:val="Hyperlink"/>
                  <w:rFonts w:eastAsiaTheme="minorHAnsi"/>
                  <w:lang w:eastAsia="en-US"/>
                </w:rPr>
                <w:t>www.vdzti.gov.lv</w:t>
              </w:r>
            </w:hyperlink>
            <w:r w:rsidRPr="00151950">
              <w:rPr>
                <w:rFonts w:eastAsiaTheme="minorHAnsi"/>
                <w:lang w:eastAsia="en-US"/>
              </w:rPr>
              <w:t>).</w:t>
            </w:r>
          </w:p>
          <w:p w:rsidRPr="00823410" w:rsidR="00D26D0D" w:rsidP="00C77882" w:rsidRDefault="00D26D0D" w14:paraId="0DC6C45F" w14:textId="2C84B227">
            <w:pPr>
              <w:jc w:val="both"/>
            </w:pPr>
            <w:r w:rsidRPr="0027264F">
              <w:rPr>
                <w:rFonts w:eastAsiaTheme="minorHAnsi"/>
                <w:lang w:eastAsia="en-US"/>
              </w:rPr>
              <w:lastRenderedPageBreak/>
              <w:t>7</w:t>
            </w:r>
            <w:r>
              <w:rPr>
                <w:rFonts w:eastAsiaTheme="minorHAnsi"/>
                <w:lang w:eastAsia="en-US"/>
              </w:rPr>
              <w:t>7</w:t>
            </w:r>
            <w:r w:rsidRPr="0027264F">
              <w:rPr>
                <w:rFonts w:eastAsiaTheme="minorHAnsi"/>
                <w:lang w:eastAsia="en-US"/>
              </w:rPr>
              <w:t>. Inspekcija lēmum</w:t>
            </w:r>
            <w:r>
              <w:rPr>
                <w:rFonts w:eastAsiaTheme="minorHAnsi"/>
                <w:lang w:eastAsia="en-US"/>
              </w:rPr>
              <w:t>u</w:t>
            </w:r>
            <w:r w:rsidRPr="0027264F">
              <w:rPr>
                <w:rFonts w:eastAsiaTheme="minorHAnsi"/>
                <w:lang w:eastAsia="en-US"/>
              </w:rPr>
              <w:t xml:space="preserve"> </w:t>
            </w:r>
            <w:r w:rsidRPr="001001D5">
              <w:rPr>
                <w:rFonts w:eastAsiaTheme="minorHAnsi"/>
                <w:lang w:eastAsia="en-US"/>
              </w:rPr>
              <w:t xml:space="preserve">par šo noteikumu </w:t>
            </w:r>
            <w:r>
              <w:rPr>
                <w:rFonts w:eastAsiaTheme="minorHAnsi"/>
                <w:lang w:eastAsia="en-US"/>
              </w:rPr>
              <w:t>56</w:t>
            </w:r>
            <w:r w:rsidRPr="00A84121">
              <w:rPr>
                <w:rFonts w:eastAsiaTheme="minorHAnsi"/>
                <w:lang w:eastAsia="en-US"/>
              </w:rPr>
              <w:t>.punktā</w:t>
            </w:r>
            <w:r w:rsidRPr="001001D5">
              <w:rPr>
                <w:rFonts w:eastAsiaTheme="minorHAnsi"/>
                <w:lang w:eastAsia="en-US"/>
              </w:rPr>
              <w:t xml:space="preserve"> minēt</w:t>
            </w:r>
            <w:r>
              <w:rPr>
                <w:rFonts w:eastAsiaTheme="minorHAnsi"/>
                <w:lang w:eastAsia="en-US"/>
              </w:rPr>
              <w:t>ā</w:t>
            </w:r>
            <w:r w:rsidRPr="001001D5">
              <w:rPr>
                <w:rFonts w:eastAsiaTheme="minorHAnsi"/>
                <w:lang w:eastAsia="en-US"/>
              </w:rPr>
              <w:t xml:space="preserve"> sertifikāt</w:t>
            </w:r>
            <w:r>
              <w:rPr>
                <w:rFonts w:eastAsiaTheme="minorHAnsi"/>
                <w:lang w:eastAsia="en-US"/>
              </w:rPr>
              <w:t>a</w:t>
            </w:r>
            <w:r w:rsidRPr="001001D5">
              <w:rPr>
                <w:rFonts w:eastAsiaTheme="minorHAnsi"/>
                <w:lang w:eastAsia="en-US"/>
              </w:rPr>
              <w:t xml:space="preserve"> izdošanu, atjaunošanu, grozīšanu vai atsaukšanu</w:t>
            </w:r>
            <w:r w:rsidRPr="0027264F">
              <w:rPr>
                <w:rFonts w:eastAsiaTheme="minorHAnsi"/>
                <w:lang w:eastAsia="en-US"/>
              </w:rPr>
              <w:t xml:space="preserve"> </w:t>
            </w:r>
            <w:r>
              <w:rPr>
                <w:rFonts w:eastAsiaTheme="minorHAnsi"/>
                <w:lang w:eastAsia="en-US"/>
              </w:rPr>
              <w:t>normatīvajos aktos noteiktā kārtībā</w:t>
            </w:r>
            <w:r w:rsidRPr="0027264F">
              <w:rPr>
                <w:rFonts w:eastAsiaTheme="minorHAnsi"/>
                <w:lang w:eastAsia="en-US"/>
              </w:rPr>
              <w:t xml:space="preserve"> paziņo komersantam</w:t>
            </w:r>
            <w:r>
              <w:rPr>
                <w:rFonts w:eastAsiaTheme="minorHAnsi"/>
                <w:lang w:eastAsia="en-US"/>
              </w:rPr>
              <w:t>.</w:t>
            </w:r>
            <w:r w:rsidRPr="0027264F">
              <w:rPr>
                <w:rFonts w:eastAsiaTheme="minorHAnsi"/>
                <w:lang w:eastAsia="en-US"/>
              </w:rPr>
              <w:t xml:space="preserve"> </w:t>
            </w:r>
            <w:r>
              <w:rPr>
                <w:rFonts w:eastAsiaTheme="minorHAnsi"/>
                <w:lang w:eastAsia="en-US"/>
              </w:rPr>
              <w:t xml:space="preserve">Inspekcija </w:t>
            </w:r>
            <w:r w:rsidRPr="001001D5">
              <w:rPr>
                <w:rFonts w:eastAsiaTheme="minorHAnsi"/>
                <w:lang w:eastAsia="en-US"/>
              </w:rPr>
              <w:t xml:space="preserve">informāciju par </w:t>
            </w:r>
            <w:r>
              <w:rPr>
                <w:rFonts w:eastAsiaTheme="minorHAnsi"/>
                <w:lang w:eastAsia="en-US"/>
              </w:rPr>
              <w:t xml:space="preserve">tās izdotiem </w:t>
            </w:r>
            <w:r w:rsidRPr="001001D5">
              <w:rPr>
                <w:rFonts w:eastAsiaTheme="minorHAnsi"/>
                <w:lang w:eastAsia="en-US"/>
              </w:rPr>
              <w:t>spēkā esoš</w:t>
            </w:r>
            <w:r>
              <w:rPr>
                <w:rFonts w:eastAsiaTheme="minorHAnsi"/>
                <w:lang w:eastAsia="en-US"/>
              </w:rPr>
              <w:t>iem</w:t>
            </w:r>
            <w:r w:rsidRPr="001001D5">
              <w:rPr>
                <w:rFonts w:eastAsiaTheme="minorHAnsi"/>
                <w:lang w:eastAsia="en-US"/>
              </w:rPr>
              <w:t xml:space="preserve"> </w:t>
            </w:r>
            <w:r>
              <w:rPr>
                <w:rFonts w:eastAsiaTheme="minorHAnsi"/>
                <w:lang w:eastAsia="en-US"/>
              </w:rPr>
              <w:t>sertifikātiem</w:t>
            </w:r>
            <w:r w:rsidRPr="001001D5">
              <w:rPr>
                <w:rFonts w:eastAsiaTheme="minorHAnsi"/>
                <w:lang w:eastAsia="en-US"/>
              </w:rPr>
              <w:t xml:space="preserve"> publicē savā </w:t>
            </w:r>
            <w:r>
              <w:rPr>
                <w:rFonts w:eastAsiaTheme="minorHAnsi"/>
                <w:lang w:eastAsia="en-US"/>
              </w:rPr>
              <w:t>tīmekļa vietnē</w:t>
            </w:r>
            <w:r w:rsidRPr="0027264F">
              <w:rPr>
                <w:rFonts w:eastAsiaTheme="minorHAnsi"/>
                <w:lang w:eastAsia="en-US"/>
              </w:rPr>
              <w:t xml:space="preserve"> (</w:t>
            </w:r>
            <w:r w:rsidRPr="000D3894">
              <w:rPr>
                <w:rFonts w:eastAsiaTheme="minorHAnsi"/>
                <w:lang w:eastAsia="en-US"/>
              </w:rPr>
              <w:t>www.vdzti.gov.lv</w:t>
            </w:r>
            <w:r w:rsidRPr="0027264F">
              <w:rPr>
                <w:rFonts w:eastAsiaTheme="minorHAnsi"/>
                <w:lang w:eastAsia="en-US"/>
              </w:rPr>
              <w:t>).</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660A31" w:rsidP="009656F5" w:rsidRDefault="009656F5" w14:paraId="1D683227" w14:textId="5463E5C8">
            <w:pPr>
              <w:jc w:val="both"/>
            </w:pPr>
            <w:r w:rsidRPr="009656F5">
              <w:lastRenderedPageBreak/>
              <w:t xml:space="preserve">APL 70. panta pirmā daļa paredz, ka administratīvais akts stājas spēkā ar brīdi, kad tas paziņots adresātam. Savukārt APL 70. panta otrā daļa noteic, ka administratīvo aktu paziņo adresātam atbilstoši Paziņošanas likumam. Ievērojot minēto, kā arī to, ka atbilstoši MKN 108 3.2. apakšpunktā noteiktajam normatīvā akta projektā neietver tiesību normas, kas dublē augstāka vai tāda paša spēka </w:t>
            </w:r>
            <w:r w:rsidRPr="009656F5">
              <w:lastRenderedPageBreak/>
              <w:t>normatīvā akta tiesību normās ietverto normatīvo regulējumu, lūdzam svītrot projekta 53. punkta pirmo teikumu un 77. punkta pirmo teikumu.</w:t>
            </w:r>
          </w:p>
        </w:tc>
        <w:tc>
          <w:tcPr>
            <w:tcW w:w="2126" w:type="dxa"/>
            <w:tcBorders>
              <w:left w:val="single" w:color="000000" w:sz="6" w:space="0"/>
              <w:bottom w:val="single" w:color="auto" w:sz="4" w:space="0"/>
              <w:right w:val="single" w:color="000000" w:sz="6" w:space="0"/>
            </w:tcBorders>
            <w:shd w:val="clear" w:color="auto" w:fill="auto"/>
          </w:tcPr>
          <w:p w:rsidR="00B77A4B" w:rsidP="00B77A4B" w:rsidRDefault="00FD5A1B" w14:paraId="152BD804" w14:textId="4E0AC3CE">
            <w:pPr>
              <w:autoSpaceDE w:val="0"/>
              <w:autoSpaceDN w:val="0"/>
              <w:adjustRightInd w:val="0"/>
              <w:jc w:val="center"/>
            </w:pPr>
            <w:r w:rsidRPr="00FD5A1B">
              <w:rPr>
                <w:b/>
              </w:rPr>
              <w:lastRenderedPageBreak/>
              <w:t>Ņemts vērā.</w:t>
            </w:r>
          </w:p>
          <w:p w:rsidR="00B77A4B" w:rsidP="009656F5" w:rsidRDefault="00B77A4B" w14:paraId="045F1A49" w14:textId="77777777">
            <w:pPr>
              <w:autoSpaceDE w:val="0"/>
              <w:autoSpaceDN w:val="0"/>
              <w:adjustRightInd w:val="0"/>
              <w:jc w:val="both"/>
            </w:pPr>
          </w:p>
          <w:p w:rsidRPr="00345296" w:rsidR="00345296" w:rsidP="009656F5" w:rsidRDefault="00AF1CE7" w14:paraId="4158BA24" w14:textId="61D6C88A">
            <w:pPr>
              <w:autoSpaceDE w:val="0"/>
              <w:autoSpaceDN w:val="0"/>
              <w:adjustRightInd w:val="0"/>
              <w:jc w:val="both"/>
              <w:rPr>
                <w:b/>
              </w:rPr>
            </w:pPr>
            <w:r>
              <w:t>S</w:t>
            </w:r>
            <w:r w:rsidRPr="00D26D0D" w:rsidR="00D26D0D">
              <w:t xml:space="preserve">kat. arī </w:t>
            </w:r>
            <w:r>
              <w:t>iz</w:t>
            </w:r>
            <w:r w:rsidR="00AE4AED">
              <w:t>z</w:t>
            </w:r>
            <w:r>
              <w:t xml:space="preserve">iņas </w:t>
            </w:r>
            <w:r w:rsidRPr="00D26D0D" w:rsidR="00D26D0D">
              <w:t>1</w:t>
            </w:r>
            <w:r w:rsidR="00647823">
              <w:t>1</w:t>
            </w:r>
            <w:r w:rsidRPr="00D26D0D" w:rsidR="00D26D0D">
              <w:t xml:space="preserve">. un </w:t>
            </w:r>
            <w:r w:rsidR="00D26D0D">
              <w:t>1</w:t>
            </w:r>
            <w:r w:rsidR="00647823">
              <w:t>2</w:t>
            </w:r>
            <w:r w:rsidRPr="00D26D0D" w:rsidR="00D26D0D">
              <w:t>.</w:t>
            </w:r>
            <w:r w:rsidR="00E12258">
              <w:t xml:space="preserve"> </w:t>
            </w:r>
            <w:r>
              <w:t>punktu</w:t>
            </w:r>
            <w:r w:rsidR="00B77A4B">
              <w:t>.</w:t>
            </w:r>
          </w:p>
        </w:tc>
        <w:tc>
          <w:tcPr>
            <w:tcW w:w="4278" w:type="dxa"/>
            <w:gridSpan w:val="3"/>
            <w:tcBorders>
              <w:top w:val="single" w:color="auto" w:sz="4" w:space="0"/>
              <w:left w:val="single" w:color="auto" w:sz="4" w:space="0"/>
              <w:bottom w:val="single" w:color="auto" w:sz="4" w:space="0"/>
            </w:tcBorders>
            <w:shd w:val="clear" w:color="auto" w:fill="auto"/>
          </w:tcPr>
          <w:p w:rsidRPr="00823410" w:rsidR="00C77882" w:rsidP="00D26D0D" w:rsidRDefault="00E12258" w14:paraId="03E9C4DC" w14:textId="56A9E45B">
            <w:pPr>
              <w:ind w:left="57" w:right="57"/>
              <w:jc w:val="both"/>
            </w:pPr>
            <w:r>
              <w:t>S</w:t>
            </w:r>
            <w:r w:rsidRPr="009656F5">
              <w:t>vītrot</w:t>
            </w:r>
            <w:r>
              <w:t>s</w:t>
            </w:r>
            <w:r w:rsidRPr="009656F5">
              <w:t xml:space="preserve"> projekta 53. </w:t>
            </w:r>
            <w:r w:rsidR="00647823">
              <w:t xml:space="preserve"> un 77. punkts</w:t>
            </w:r>
            <w:r w:rsidRPr="009656F5">
              <w:t>.</w:t>
            </w:r>
          </w:p>
        </w:tc>
      </w:tr>
      <w:tr w:rsidRPr="00823410" w:rsidR="00C77882" w:rsidTr="00982A1C" w14:paraId="085F4ADB"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6BADDF20" w14:textId="4F8822E9">
            <w:pPr>
              <w:ind w:left="360" w:hanging="352"/>
              <w:jc w:val="both"/>
              <w:rPr>
                <w:bCs/>
              </w:rPr>
            </w:pPr>
            <w:r w:rsidRPr="005008E4">
              <w:rPr>
                <w:bCs/>
              </w:rPr>
              <w:t>24.</w:t>
            </w:r>
          </w:p>
        </w:tc>
        <w:tc>
          <w:tcPr>
            <w:tcW w:w="3260" w:type="dxa"/>
            <w:gridSpan w:val="3"/>
            <w:tcBorders>
              <w:left w:val="single" w:color="000000" w:sz="6" w:space="0"/>
              <w:bottom w:val="single" w:color="auto" w:sz="4" w:space="0"/>
              <w:right w:val="single" w:color="000000" w:sz="6" w:space="0"/>
            </w:tcBorders>
            <w:shd w:val="clear" w:color="auto" w:fill="auto"/>
          </w:tcPr>
          <w:p w:rsidR="00180453" w:rsidP="00C77882" w:rsidRDefault="00CC6D88" w14:paraId="154F40AE" w14:textId="77777777">
            <w:pPr>
              <w:jc w:val="both"/>
            </w:pPr>
            <w:r w:rsidRPr="00CC6D88">
              <w:t>55. Inspekcijas lēmumu par drošības apliecības izdošanu, atjaunošanu, grozīšanu vai atsaukšanu var pārsūdzēt Administratīvā procesa likumā noteiktajā kārtībā.</w:t>
            </w:r>
          </w:p>
          <w:p w:rsidRPr="00823410" w:rsidR="0057236F" w:rsidP="00C77882" w:rsidRDefault="0057236F" w14:paraId="0855B774" w14:textId="386AB07B">
            <w:pPr>
              <w:jc w:val="both"/>
            </w:pPr>
            <w:r w:rsidRPr="0057236F">
              <w:t>78. Inspekcijas lēmumu par šo noteikumu 56.punktā minēto sertifikātu izdošanu, atjaunošanu, grozīšanu vai atsaukšanu var pārsūdzēt Administratīvā procesa likumā noteiktajā kārtībā.</w:t>
            </w:r>
          </w:p>
        </w:tc>
        <w:tc>
          <w:tcPr>
            <w:tcW w:w="4253" w:type="dxa"/>
            <w:gridSpan w:val="2"/>
            <w:tcBorders>
              <w:left w:val="single" w:color="000000" w:sz="6" w:space="0"/>
              <w:bottom w:val="single" w:color="auto" w:sz="4" w:space="0"/>
              <w:right w:val="single" w:color="000000" w:sz="6" w:space="0"/>
            </w:tcBorders>
            <w:shd w:val="clear" w:color="auto" w:fill="auto"/>
          </w:tcPr>
          <w:p w:rsidR="00D448BF" w:rsidP="009656F5" w:rsidRDefault="009656F5" w14:paraId="653D2A3B" w14:textId="77777777">
            <w:pPr>
              <w:jc w:val="both"/>
            </w:pPr>
            <w:r w:rsidRPr="009656F5">
              <w:t>Vēršam uzmanību uz to, ka regulējums par administratīvā akta apstrīdēšanu un pārsūdzēšanu ir paredzēts APL, piemēram, APL 76. panta otrajā daļā. Turklāt, piemēram, atbilstoši APL 67. panta otrās daļas 9. punktā noteiktajam administratīvajā aktā ietver norādi, kur un kādā termiņā administratīvo aktu var apstrīdēt vai pārsūdzēt. Ievērojot minēto, kā arī to, ka atbilstoši MKN 108 3.2. apakšpunktā noteiktajam normatīvā akta projektā neietver tiesību normas, kas dublē augstāka vai tāda paša spēka normatīvā akta tiesību normās ietverto normatīvo regulējumu, lūdzam svītrot projekta 55. un 78. punktu.</w:t>
            </w:r>
          </w:p>
          <w:p w:rsidRPr="009656F5" w:rsidR="00E77CD8" w:rsidP="009656F5" w:rsidRDefault="00E77CD8" w14:paraId="5B6B951C" w14:textId="704D6C35">
            <w:pPr>
              <w:jc w:val="both"/>
            </w:pPr>
          </w:p>
        </w:tc>
        <w:tc>
          <w:tcPr>
            <w:tcW w:w="2126" w:type="dxa"/>
            <w:tcBorders>
              <w:left w:val="single" w:color="000000" w:sz="6" w:space="0"/>
              <w:bottom w:val="single" w:color="auto" w:sz="4" w:space="0"/>
              <w:right w:val="single" w:color="000000" w:sz="6" w:space="0"/>
            </w:tcBorders>
            <w:shd w:val="clear" w:color="auto" w:fill="auto"/>
          </w:tcPr>
          <w:p w:rsidR="00C77882" w:rsidP="004338A5" w:rsidRDefault="00FD5A1B" w14:paraId="30E92CB3" w14:textId="5D363252">
            <w:pPr>
              <w:autoSpaceDE w:val="0"/>
              <w:autoSpaceDN w:val="0"/>
              <w:adjustRightInd w:val="0"/>
              <w:jc w:val="center"/>
              <w:rPr>
                <w:b/>
              </w:rPr>
            </w:pPr>
            <w:r w:rsidRPr="00FD5A1B">
              <w:rPr>
                <w:b/>
              </w:rPr>
              <w:t>Ņemts vērā.</w:t>
            </w:r>
          </w:p>
          <w:p w:rsidR="00BF19C5" w:rsidP="004338A5" w:rsidRDefault="00BF19C5" w14:paraId="033555CD" w14:textId="77777777">
            <w:pPr>
              <w:autoSpaceDE w:val="0"/>
              <w:autoSpaceDN w:val="0"/>
              <w:adjustRightInd w:val="0"/>
              <w:jc w:val="center"/>
              <w:rPr>
                <w:b/>
              </w:rPr>
            </w:pPr>
          </w:p>
          <w:p w:rsidRPr="00823410" w:rsidR="0057236F" w:rsidP="00BF19C5" w:rsidRDefault="0057236F" w14:paraId="4944474F" w14:textId="3918735F">
            <w:pPr>
              <w:autoSpaceDE w:val="0"/>
              <w:autoSpaceDN w:val="0"/>
              <w:adjustRightInd w:val="0"/>
              <w:jc w:val="both"/>
            </w:pPr>
          </w:p>
        </w:tc>
        <w:tc>
          <w:tcPr>
            <w:tcW w:w="4278" w:type="dxa"/>
            <w:gridSpan w:val="3"/>
            <w:tcBorders>
              <w:top w:val="single" w:color="auto" w:sz="4" w:space="0"/>
              <w:left w:val="single" w:color="auto" w:sz="4" w:space="0"/>
              <w:bottom w:val="single" w:color="auto" w:sz="4" w:space="0"/>
            </w:tcBorders>
            <w:shd w:val="clear" w:color="auto" w:fill="auto"/>
          </w:tcPr>
          <w:p w:rsidRPr="00823410" w:rsidR="00C77882" w:rsidP="009656F5" w:rsidRDefault="00E12258" w14:paraId="5B70905E" w14:textId="486A7A6A">
            <w:pPr>
              <w:ind w:left="57" w:right="57"/>
              <w:jc w:val="both"/>
            </w:pPr>
            <w:r>
              <w:t>S</w:t>
            </w:r>
            <w:r w:rsidRPr="009656F5">
              <w:t>vītrot</w:t>
            </w:r>
            <w:r>
              <w:t>s</w:t>
            </w:r>
            <w:r w:rsidRPr="009656F5">
              <w:t xml:space="preserve"> projekta 55. un 78. punkt</w:t>
            </w:r>
            <w:r>
              <w:t>s.</w:t>
            </w:r>
          </w:p>
        </w:tc>
      </w:tr>
      <w:tr w:rsidRPr="00823410" w:rsidR="00C77882" w:rsidTr="00982A1C" w14:paraId="521CA647"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1555E2BC" w14:textId="2F075434">
            <w:pPr>
              <w:ind w:left="360" w:hanging="352"/>
              <w:jc w:val="both"/>
              <w:rPr>
                <w:bCs/>
              </w:rPr>
            </w:pPr>
            <w:r w:rsidRPr="005008E4">
              <w:rPr>
                <w:bCs/>
              </w:rPr>
              <w:lastRenderedPageBreak/>
              <w:t>25.</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57236F" w14:paraId="1AE7F787" w14:textId="4159E84C">
            <w:pPr>
              <w:jc w:val="both"/>
            </w:pPr>
            <w:r w:rsidRPr="0057236F">
              <w:t>60.1. Inspekcija ievēro neatkarības, kompetences un objektivitātes kritērijus;</w:t>
            </w:r>
          </w:p>
        </w:tc>
        <w:tc>
          <w:tcPr>
            <w:tcW w:w="4253" w:type="dxa"/>
            <w:gridSpan w:val="2"/>
            <w:tcBorders>
              <w:left w:val="single" w:color="000000" w:sz="6" w:space="0"/>
              <w:bottom w:val="single" w:color="auto" w:sz="4" w:space="0"/>
              <w:right w:val="single" w:color="000000" w:sz="6" w:space="0"/>
            </w:tcBorders>
            <w:shd w:val="clear" w:color="auto" w:fill="auto"/>
          </w:tcPr>
          <w:p w:rsidR="00C77882" w:rsidP="009656F5" w:rsidRDefault="009656F5" w14:paraId="58773587" w14:textId="77777777">
            <w:pPr>
              <w:jc w:val="both"/>
            </w:pPr>
            <w:r w:rsidRPr="009656F5">
              <w:t>Lūdzam projekta 60.1. apakšpunktā identificēt neatkarības, kompetences un objektivitātes kritērijus, jo minētie kritēriji praksē ir pārāk plaši interpretējami.</w:t>
            </w:r>
          </w:p>
          <w:p w:rsidRPr="009656F5" w:rsidR="00E77CD8" w:rsidP="009656F5" w:rsidRDefault="00E77CD8" w14:paraId="500FB67B" w14:textId="254EBB61">
            <w:pPr>
              <w:jc w:val="both"/>
            </w:pPr>
          </w:p>
        </w:tc>
        <w:tc>
          <w:tcPr>
            <w:tcW w:w="2126" w:type="dxa"/>
            <w:tcBorders>
              <w:left w:val="single" w:color="000000" w:sz="6" w:space="0"/>
              <w:bottom w:val="single" w:color="auto" w:sz="4" w:space="0"/>
              <w:right w:val="single" w:color="000000" w:sz="6" w:space="0"/>
            </w:tcBorders>
            <w:shd w:val="clear" w:color="auto" w:fill="auto"/>
          </w:tcPr>
          <w:p w:rsidR="003B6268" w:rsidP="004338A5" w:rsidRDefault="00FD5A1B" w14:paraId="53C2B2B9" w14:textId="77777777">
            <w:pPr>
              <w:autoSpaceDE w:val="0"/>
              <w:autoSpaceDN w:val="0"/>
              <w:adjustRightInd w:val="0"/>
              <w:jc w:val="center"/>
              <w:rPr>
                <w:b/>
              </w:rPr>
            </w:pPr>
            <w:r w:rsidRPr="00FD5A1B">
              <w:rPr>
                <w:b/>
              </w:rPr>
              <w:t>Ņemts vērā.</w:t>
            </w:r>
          </w:p>
          <w:p w:rsidRPr="00823410" w:rsidR="003374FD" w:rsidP="004338A5" w:rsidRDefault="003374FD" w14:paraId="05D86E9E" w14:textId="065CC840">
            <w:pPr>
              <w:autoSpaceDE w:val="0"/>
              <w:autoSpaceDN w:val="0"/>
              <w:adjustRightInd w:val="0"/>
              <w:jc w:val="center"/>
            </w:pPr>
          </w:p>
        </w:tc>
        <w:tc>
          <w:tcPr>
            <w:tcW w:w="4278" w:type="dxa"/>
            <w:gridSpan w:val="3"/>
            <w:tcBorders>
              <w:top w:val="single" w:color="auto" w:sz="4" w:space="0"/>
              <w:left w:val="single" w:color="auto" w:sz="4" w:space="0"/>
              <w:bottom w:val="single" w:color="auto" w:sz="4" w:space="0"/>
            </w:tcBorders>
            <w:shd w:val="clear" w:color="auto" w:fill="auto"/>
          </w:tcPr>
          <w:p w:rsidRPr="002C3B1F" w:rsidR="00C77882" w:rsidP="00280D36" w:rsidRDefault="00C66C2B" w14:paraId="5B186662" w14:textId="527834E2">
            <w:pPr>
              <w:ind w:left="57" w:right="57"/>
              <w:jc w:val="both"/>
            </w:pPr>
            <w:r w:rsidRPr="002C3B1F">
              <w:t>56</w:t>
            </w:r>
            <w:r w:rsidRPr="002C3B1F" w:rsidR="00280D36">
              <w:t>.1. Inspekcija ievēro Regulas Nr. 2019/779 I pielikumā noteiktos neatkarības, kompetences un objektivitātes kritērijus</w:t>
            </w:r>
            <w:r w:rsidR="00AE0281">
              <w:t>.</w:t>
            </w:r>
          </w:p>
        </w:tc>
      </w:tr>
      <w:tr w:rsidRPr="00823410" w:rsidR="00C77882" w:rsidTr="00982A1C" w14:paraId="309F1745"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21A13138" w14:textId="1F473E36">
            <w:pPr>
              <w:ind w:left="360" w:hanging="352"/>
              <w:jc w:val="both"/>
              <w:rPr>
                <w:bCs/>
              </w:rPr>
            </w:pPr>
            <w:r w:rsidRPr="005008E4">
              <w:rPr>
                <w:bCs/>
              </w:rPr>
              <w:t>26.</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1A2188" w:rsidP="00C77882" w:rsidRDefault="0057236F" w14:paraId="3FE9FC33" w14:textId="433087F3">
            <w:pPr>
              <w:jc w:val="both"/>
            </w:pPr>
            <w:r w:rsidRPr="0057236F">
              <w:t>67. Lēmumu par šo noteikumu 56.2.apakšpunktā minētā sertifikāta izdošanu Inspekcija pieņem ne vēlāk kā četru mēnešu laikā pēc pieteikuma, tam pievienoto dokumentu, kā arī šo noteikumu 65.punktā minētās papildu informācijas saņemšanas.</w:t>
            </w:r>
          </w:p>
        </w:tc>
        <w:tc>
          <w:tcPr>
            <w:tcW w:w="4253" w:type="dxa"/>
            <w:gridSpan w:val="2"/>
            <w:tcBorders>
              <w:left w:val="single" w:color="000000" w:sz="6" w:space="0"/>
              <w:bottom w:val="single" w:color="auto" w:sz="4" w:space="0"/>
              <w:right w:val="single" w:color="000000" w:sz="6" w:space="0"/>
            </w:tcBorders>
            <w:shd w:val="clear" w:color="auto" w:fill="auto"/>
          </w:tcPr>
          <w:p w:rsidR="006119AB" w:rsidP="009656F5" w:rsidRDefault="009656F5" w14:paraId="08A7E3AC" w14:textId="77777777">
            <w:pPr>
              <w:jc w:val="both"/>
            </w:pPr>
            <w:r w:rsidRPr="009656F5">
              <w:t>APL 64. panta pirmā daļa noteic, ka gadījumā,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Savukārt projekta 67. punkts paredz, ka lēmumu par projekta 56.2. apakšpunktā minētā sertifikāta izdošanu Inspekcija pieņem ne vēlāk kā četru mēnešu laikā pēc pieteikuma, tam pievienoto dokumentu, kā arī projekta 65. punktā minētās papildu informācijas saņemšanas. Vienlaikus vēršam uzmanību uz to, ka nav skaidrs, no kuras Likuma normas izriet projekta 67. punktā paredzētais regulējums. Ievērojot minēto, lūdzam izvērtēt projekta 67. punktā paredzēto regulējumu un precizēt to, vienlaikus nedublējot APL paredzēto regulējumu, kā arī papildināt anotāciju ar atbilstošu skaidrojumu.</w:t>
            </w:r>
          </w:p>
          <w:p w:rsidRPr="009656F5" w:rsidR="00E77CD8" w:rsidP="009656F5" w:rsidRDefault="00E77CD8" w14:paraId="0E7CF59D" w14:textId="11F8963A">
            <w:pPr>
              <w:jc w:val="both"/>
            </w:pPr>
          </w:p>
        </w:tc>
        <w:tc>
          <w:tcPr>
            <w:tcW w:w="2126" w:type="dxa"/>
            <w:tcBorders>
              <w:left w:val="single" w:color="000000" w:sz="6" w:space="0"/>
              <w:bottom w:val="single" w:color="auto" w:sz="4" w:space="0"/>
              <w:right w:val="single" w:color="000000" w:sz="6" w:space="0"/>
            </w:tcBorders>
            <w:shd w:val="clear" w:color="auto" w:fill="auto"/>
          </w:tcPr>
          <w:p w:rsidRPr="002A7116" w:rsidR="00C77882" w:rsidP="004338A5" w:rsidRDefault="005370CD" w14:paraId="6AE74DA4" w14:textId="192E8E37">
            <w:pPr>
              <w:autoSpaceDE w:val="0"/>
              <w:autoSpaceDN w:val="0"/>
              <w:adjustRightInd w:val="0"/>
              <w:jc w:val="center"/>
              <w:rPr>
                <w:b/>
              </w:rPr>
            </w:pPr>
            <w:r>
              <w:rPr>
                <w:b/>
              </w:rPr>
              <w:t>Ņ</w:t>
            </w:r>
            <w:r w:rsidR="00FD5A1B">
              <w:rPr>
                <w:b/>
              </w:rPr>
              <w:t>emts vērā</w:t>
            </w:r>
            <w:r w:rsidR="004338A5">
              <w:rPr>
                <w:b/>
              </w:rPr>
              <w:t>.</w:t>
            </w:r>
          </w:p>
        </w:tc>
        <w:tc>
          <w:tcPr>
            <w:tcW w:w="4278" w:type="dxa"/>
            <w:gridSpan w:val="3"/>
            <w:tcBorders>
              <w:top w:val="single" w:color="auto" w:sz="4" w:space="0"/>
              <w:left w:val="single" w:color="auto" w:sz="4" w:space="0"/>
              <w:bottom w:val="single" w:color="auto" w:sz="4" w:space="0"/>
            </w:tcBorders>
            <w:shd w:val="clear" w:color="auto" w:fill="auto"/>
          </w:tcPr>
          <w:p w:rsidRPr="00823410" w:rsidR="00C77882" w:rsidP="009656F5" w:rsidRDefault="009C1571" w14:paraId="469A82F7" w14:textId="22921262">
            <w:pPr>
              <w:ind w:left="58" w:right="57"/>
              <w:jc w:val="both"/>
            </w:pPr>
            <w:r>
              <w:t>S</w:t>
            </w:r>
            <w:r w:rsidR="005370CD">
              <w:t>vītrots</w:t>
            </w:r>
            <w:r>
              <w:t xml:space="preserve"> projekta 67</w:t>
            </w:r>
            <w:r w:rsidR="00AE0281">
              <w:t>.</w:t>
            </w:r>
            <w:r>
              <w:t xml:space="preserve"> punkts.</w:t>
            </w:r>
          </w:p>
        </w:tc>
      </w:tr>
      <w:tr w:rsidRPr="00823410" w:rsidR="00C77882" w:rsidTr="00982A1C" w14:paraId="482CE8FF"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63E2B246" w14:textId="729161C9">
            <w:pPr>
              <w:ind w:left="360" w:hanging="352"/>
              <w:jc w:val="both"/>
              <w:rPr>
                <w:bCs/>
              </w:rPr>
            </w:pPr>
            <w:r w:rsidRPr="005008E4">
              <w:rPr>
                <w:bCs/>
              </w:rPr>
              <w:lastRenderedPageBreak/>
              <w:t>27.</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57236F" w14:paraId="0ADE034C" w14:textId="1D031038">
            <w:pPr>
              <w:jc w:val="both"/>
            </w:pPr>
            <w:r w:rsidRPr="0057236F">
              <w:t>69.1.</w:t>
            </w:r>
            <w:r w:rsidRPr="0057236F">
              <w:tab/>
              <w:t>komersants nav iesniedzis visus nepieciešamos dokumentus;</w:t>
            </w:r>
          </w:p>
        </w:tc>
        <w:tc>
          <w:tcPr>
            <w:tcW w:w="4253" w:type="dxa"/>
            <w:gridSpan w:val="2"/>
            <w:tcBorders>
              <w:left w:val="single" w:color="000000" w:sz="6" w:space="0"/>
              <w:bottom w:val="single" w:color="auto" w:sz="4" w:space="0"/>
              <w:right w:val="single" w:color="000000" w:sz="6" w:space="0"/>
            </w:tcBorders>
            <w:shd w:val="clear" w:color="auto" w:fill="auto"/>
          </w:tcPr>
          <w:p w:rsidR="006119AB" w:rsidP="009656F5" w:rsidRDefault="0009614A" w14:paraId="4C7AFD28" w14:textId="77777777">
            <w:pPr>
              <w:jc w:val="both"/>
            </w:pPr>
            <w:r w:rsidRPr="0009614A">
              <w:t>Lūdzam projekta 69.1. apakšpunktā identificēt visus nepieciešamos dokumentus, jo pašlaik no projekta teksta minēto dokumentu uzskaitījums neizriet.</w:t>
            </w:r>
          </w:p>
          <w:p w:rsidRPr="009656F5" w:rsidR="00E77CD8" w:rsidP="009656F5" w:rsidRDefault="00E77CD8" w14:paraId="02312240" w14:textId="2BD60498">
            <w:pPr>
              <w:jc w:val="both"/>
            </w:pPr>
          </w:p>
        </w:tc>
        <w:tc>
          <w:tcPr>
            <w:tcW w:w="2126" w:type="dxa"/>
            <w:tcBorders>
              <w:left w:val="single" w:color="000000" w:sz="6" w:space="0"/>
              <w:bottom w:val="single" w:color="auto" w:sz="4" w:space="0"/>
              <w:right w:val="single" w:color="000000" w:sz="6" w:space="0"/>
            </w:tcBorders>
            <w:shd w:val="clear" w:color="auto" w:fill="auto"/>
          </w:tcPr>
          <w:p w:rsidR="00C77882" w:rsidP="009C1571" w:rsidRDefault="00FD5A1B" w14:paraId="32887186" w14:textId="77777777">
            <w:pPr>
              <w:autoSpaceDE w:val="0"/>
              <w:autoSpaceDN w:val="0"/>
              <w:adjustRightInd w:val="0"/>
              <w:jc w:val="center"/>
              <w:rPr>
                <w:b/>
              </w:rPr>
            </w:pPr>
            <w:r w:rsidRPr="00FD5A1B">
              <w:rPr>
                <w:b/>
              </w:rPr>
              <w:t>Ņemts vērā.</w:t>
            </w:r>
          </w:p>
          <w:p w:rsidRPr="00823410" w:rsidR="0057236F" w:rsidP="009C1571" w:rsidRDefault="0057236F" w14:paraId="31FBA819" w14:textId="58BA54AD">
            <w:pPr>
              <w:autoSpaceDE w:val="0"/>
              <w:autoSpaceDN w:val="0"/>
              <w:adjustRightInd w:val="0"/>
              <w:jc w:val="both"/>
              <w:rPr>
                <w:b/>
              </w:rPr>
            </w:pPr>
          </w:p>
        </w:tc>
        <w:tc>
          <w:tcPr>
            <w:tcW w:w="4278" w:type="dxa"/>
            <w:gridSpan w:val="3"/>
            <w:tcBorders>
              <w:top w:val="single" w:color="auto" w:sz="4" w:space="0"/>
              <w:left w:val="single" w:color="auto" w:sz="4" w:space="0"/>
              <w:bottom w:val="single" w:color="auto" w:sz="4" w:space="0"/>
            </w:tcBorders>
            <w:shd w:val="clear" w:color="auto" w:fill="auto"/>
          </w:tcPr>
          <w:p w:rsidRPr="002C3B1F" w:rsidR="00C77882" w:rsidP="00C66C2B" w:rsidRDefault="00144C3A" w14:paraId="1E6C9F6D" w14:textId="15007497">
            <w:pPr>
              <w:ind w:left="57" w:right="57"/>
              <w:jc w:val="both"/>
            </w:pPr>
            <w:r w:rsidRPr="002C3B1F">
              <w:t>6</w:t>
            </w:r>
            <w:r w:rsidRPr="002C3B1F" w:rsidR="00C66C2B">
              <w:t>3</w:t>
            </w:r>
            <w:r w:rsidRPr="002C3B1F">
              <w:t>.1.</w:t>
            </w:r>
            <w:r w:rsidRPr="002C3B1F">
              <w:tab/>
              <w:t xml:space="preserve">komersants nav iesniedzis visus šo noteikumu </w:t>
            </w:r>
            <w:r w:rsidRPr="002C3B1F" w:rsidR="00C66C2B">
              <w:t>59</w:t>
            </w:r>
            <w:r w:rsidRPr="002C3B1F">
              <w:t>.punktā minētos dokumentus;</w:t>
            </w:r>
          </w:p>
        </w:tc>
      </w:tr>
      <w:tr w:rsidRPr="00823410" w:rsidR="00C77882" w:rsidTr="00982A1C" w14:paraId="4C870AC0"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7BDAB51D" w14:textId="4E6149F0">
            <w:pPr>
              <w:ind w:left="360" w:hanging="352"/>
              <w:jc w:val="both"/>
              <w:rPr>
                <w:bCs/>
              </w:rPr>
            </w:pPr>
            <w:r w:rsidRPr="005008E4">
              <w:rPr>
                <w:bCs/>
              </w:rPr>
              <w:t>28.</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8E74EB" w:rsidP="008E74EB" w:rsidRDefault="00916891" w14:paraId="10631A0A" w14:textId="2DC7B672">
            <w:pPr>
              <w:jc w:val="both"/>
            </w:pPr>
            <w:r>
              <w:t>Skatīt projektu</w:t>
            </w:r>
            <w:r w:rsidR="009F417D">
              <w:t>.</w:t>
            </w:r>
          </w:p>
        </w:tc>
        <w:tc>
          <w:tcPr>
            <w:tcW w:w="4253" w:type="dxa"/>
            <w:gridSpan w:val="2"/>
            <w:tcBorders>
              <w:left w:val="single" w:color="000000" w:sz="6" w:space="0"/>
              <w:bottom w:val="single" w:color="auto" w:sz="4" w:space="0"/>
              <w:right w:val="single" w:color="000000" w:sz="6" w:space="0"/>
            </w:tcBorders>
            <w:shd w:val="clear" w:color="auto" w:fill="auto"/>
          </w:tcPr>
          <w:p w:rsidR="006119AB" w:rsidP="009656F5" w:rsidRDefault="0009614A" w14:paraId="156C60DB" w14:textId="77777777">
            <w:pPr>
              <w:jc w:val="both"/>
            </w:pPr>
            <w:r w:rsidRPr="0009614A">
              <w:t>Lūdzam papildināt projekta anotāciju ar skaidrojumu par projekta 41.5. apakšpunktā, 44., 46., 47., 48., 51., 54., 56., 71., 72., 73, 74., 80., 81., 82. un 83. punktā paredzēto regulējumu. Vienlaikus vēršam uzmanību uz to, ka projekta anotācijas I sadaļas 2. punktu nepieciešams aizpildīt atbilstoši Ministru kabineta 2009. gada 15. decembra instrukcijas Nr. 19 “Tiesību akta projekta sākotnējās ietekmes izvērtēšanas kārtība” (turpmāk – instrukcija) 14. punktā noteiktajām prasībām.</w:t>
            </w:r>
          </w:p>
          <w:p w:rsidRPr="009656F5" w:rsidR="00E77CD8" w:rsidP="009656F5" w:rsidRDefault="00E77CD8" w14:paraId="44EAB8E4" w14:textId="5C0A625D">
            <w:pPr>
              <w:jc w:val="both"/>
            </w:pPr>
          </w:p>
        </w:tc>
        <w:tc>
          <w:tcPr>
            <w:tcW w:w="2126" w:type="dxa"/>
            <w:tcBorders>
              <w:left w:val="single" w:color="000000" w:sz="6" w:space="0"/>
              <w:bottom w:val="single" w:color="auto" w:sz="4" w:space="0"/>
              <w:right w:val="single" w:color="000000" w:sz="6" w:space="0"/>
            </w:tcBorders>
            <w:shd w:val="clear" w:color="auto" w:fill="auto"/>
          </w:tcPr>
          <w:p w:rsidRPr="005A582D" w:rsidR="00C77882" w:rsidP="009C1571" w:rsidRDefault="00FD5A1B" w14:paraId="0DF5F0EB" w14:textId="77777777">
            <w:pPr>
              <w:jc w:val="center"/>
              <w:rPr>
                <w:b/>
              </w:rPr>
            </w:pPr>
            <w:r w:rsidRPr="005A582D">
              <w:rPr>
                <w:b/>
              </w:rPr>
              <w:t>Ņemts vērā.</w:t>
            </w:r>
          </w:p>
          <w:p w:rsidRPr="005433B7" w:rsidR="00362C1A" w:rsidP="009656F5" w:rsidRDefault="00362C1A" w14:paraId="7BC3D2B3" w14:textId="58D7FD69">
            <w:pPr>
              <w:jc w:val="both"/>
              <w:rPr>
                <w:highlight w:val="yellow"/>
              </w:rPr>
            </w:pPr>
          </w:p>
        </w:tc>
        <w:tc>
          <w:tcPr>
            <w:tcW w:w="4278" w:type="dxa"/>
            <w:gridSpan w:val="3"/>
            <w:tcBorders>
              <w:top w:val="single" w:color="auto" w:sz="4" w:space="0"/>
              <w:left w:val="single" w:color="auto" w:sz="4" w:space="0"/>
              <w:bottom w:val="single" w:color="auto" w:sz="4" w:space="0"/>
            </w:tcBorders>
            <w:shd w:val="clear" w:color="auto" w:fill="auto"/>
          </w:tcPr>
          <w:p w:rsidRPr="00764173" w:rsidR="00C77882" w:rsidP="009656F5" w:rsidRDefault="009C1571" w14:paraId="22770EFF" w14:textId="3E1B295F">
            <w:pPr>
              <w:ind w:left="57" w:right="57"/>
              <w:jc w:val="both"/>
              <w:rPr>
                <w:highlight w:val="yellow"/>
              </w:rPr>
            </w:pPr>
            <w:r>
              <w:t>Papildināts projekta</w:t>
            </w:r>
            <w:r w:rsidRPr="00916891" w:rsidR="00916891">
              <w:t xml:space="preserve"> anotācijas I sadaļas 2. punkt</w:t>
            </w:r>
            <w:r>
              <w:t>s.</w:t>
            </w:r>
          </w:p>
        </w:tc>
      </w:tr>
      <w:tr w:rsidRPr="00823410" w:rsidR="00C77882" w:rsidTr="00982A1C" w14:paraId="73270B3D"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57CDDDAF" w14:textId="055E6803">
            <w:pPr>
              <w:ind w:left="360" w:hanging="352"/>
              <w:jc w:val="both"/>
              <w:rPr>
                <w:bCs/>
              </w:rPr>
            </w:pPr>
            <w:r w:rsidRPr="005008E4">
              <w:rPr>
                <w:bCs/>
              </w:rPr>
              <w:t>29.</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A201F8" w:rsidP="00C77882" w:rsidRDefault="00916891" w14:paraId="0FBE7871" w14:textId="35F95901">
            <w:pPr>
              <w:jc w:val="both"/>
            </w:pPr>
            <w:r>
              <w:t>Skatīt projekta anotāciju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6119AB" w:rsidP="009656F5" w:rsidRDefault="0009614A" w14:paraId="191F2FD1" w14:textId="35F5D459">
            <w:pPr>
              <w:jc w:val="both"/>
            </w:pPr>
            <w:r w:rsidRPr="0009614A">
              <w:t>Norādām, ka projekta anotācijas V sadaļas 1. tabulā (turpmāk – Tabula) ietvertā informācija, ka Eiropas Parlamenta un Padomes 2016. gada 11. maija Direktīvas (ES) 2016/798 par dzelzceļa drošību (turpmāk – Direktīva) 9. panta 3. punkts pārņemts projekta 2. punktā nav precīza, jo projekta 2. punktā nav pārņemts Direktīvas 9. panta 3. punkta g) apakšpunkts. Attiecīgi lūdzam precizēt projektu vai Tabulu.</w:t>
            </w:r>
          </w:p>
        </w:tc>
        <w:tc>
          <w:tcPr>
            <w:tcW w:w="2126" w:type="dxa"/>
            <w:tcBorders>
              <w:left w:val="single" w:color="000000" w:sz="6" w:space="0"/>
              <w:bottom w:val="single" w:color="auto" w:sz="4" w:space="0"/>
              <w:right w:val="single" w:color="000000" w:sz="6" w:space="0"/>
            </w:tcBorders>
            <w:shd w:val="clear" w:color="auto" w:fill="auto"/>
          </w:tcPr>
          <w:p w:rsidR="00F97D10" w:rsidP="009F417D" w:rsidRDefault="00E77CD8" w14:paraId="079AD896" w14:textId="4C4C373F">
            <w:pPr>
              <w:jc w:val="center"/>
              <w:rPr>
                <w:b/>
              </w:rPr>
            </w:pPr>
            <w:r>
              <w:rPr>
                <w:b/>
              </w:rPr>
              <w:t xml:space="preserve">Panākta vienošanās saskaņošanas </w:t>
            </w:r>
            <w:r w:rsidR="009F417D">
              <w:rPr>
                <w:b/>
              </w:rPr>
              <w:t>laik</w:t>
            </w:r>
            <w:r>
              <w:rPr>
                <w:b/>
              </w:rPr>
              <w:t>ā.</w:t>
            </w:r>
          </w:p>
          <w:p w:rsidR="00D16FFB" w:rsidP="009F417D" w:rsidRDefault="00D16FFB" w14:paraId="22F05011" w14:textId="77777777">
            <w:pPr>
              <w:jc w:val="center"/>
              <w:rPr>
                <w:b/>
              </w:rPr>
            </w:pPr>
          </w:p>
          <w:p w:rsidRPr="00D16FFB" w:rsidR="00E77CD8" w:rsidP="00762CB5" w:rsidRDefault="00762CB5" w14:paraId="5C7A1135" w14:textId="783C7064">
            <w:pPr>
              <w:jc w:val="both"/>
            </w:pPr>
            <w:r w:rsidRPr="00762CB5">
              <w:t>Direktīvas 9. panta 3. punkta g) apakšpunkts ir pārņemts</w:t>
            </w:r>
            <w:r>
              <w:t xml:space="preserve"> Projekta 2.7.apakšpunktā</w:t>
            </w:r>
            <w:r w:rsidR="009F417D">
              <w:t>,</w:t>
            </w:r>
            <w:r>
              <w:t xml:space="preserve"> tekstu veidojot pēc </w:t>
            </w:r>
            <w:r>
              <w:lastRenderedPageBreak/>
              <w:t>būtības</w:t>
            </w:r>
            <w:r w:rsidR="009F417D">
              <w:t>,</w:t>
            </w:r>
            <w:r>
              <w:t xml:space="preserve"> nevis citējot Direktīvu</w:t>
            </w:r>
            <w:r w:rsidR="009F417D">
              <w:t>.</w:t>
            </w:r>
          </w:p>
        </w:tc>
        <w:tc>
          <w:tcPr>
            <w:tcW w:w="4278" w:type="dxa"/>
            <w:gridSpan w:val="3"/>
            <w:tcBorders>
              <w:top w:val="single" w:color="auto" w:sz="4" w:space="0"/>
              <w:left w:val="single" w:color="auto" w:sz="4" w:space="0"/>
              <w:bottom w:val="single" w:color="auto" w:sz="4" w:space="0"/>
            </w:tcBorders>
            <w:shd w:val="clear" w:color="auto" w:fill="auto"/>
          </w:tcPr>
          <w:p w:rsidRPr="00823410" w:rsidR="00A201F8" w:rsidP="009656F5" w:rsidRDefault="00E77CD8" w14:paraId="51F30581" w14:textId="3BBFEDA1">
            <w:pPr>
              <w:ind w:left="57" w:right="57"/>
              <w:jc w:val="both"/>
            </w:pPr>
            <w:r>
              <w:lastRenderedPageBreak/>
              <w:t>Skatīt projekta anotāciju.</w:t>
            </w:r>
          </w:p>
        </w:tc>
      </w:tr>
      <w:tr w:rsidRPr="00823410" w:rsidR="00C77882" w:rsidTr="00982A1C" w14:paraId="765F4285" w14:textId="77777777">
        <w:tc>
          <w:tcPr>
            <w:tcW w:w="542" w:type="dxa"/>
            <w:gridSpan w:val="2"/>
            <w:tcBorders>
              <w:left w:val="single" w:color="000000" w:sz="6" w:space="0"/>
              <w:bottom w:val="single" w:color="auto" w:sz="4" w:space="0"/>
              <w:right w:val="single" w:color="000000" w:sz="6" w:space="0"/>
            </w:tcBorders>
            <w:shd w:val="clear" w:color="auto" w:fill="auto"/>
          </w:tcPr>
          <w:p w:rsidRPr="005008E4" w:rsidR="00C77882" w:rsidP="00742CB1" w:rsidRDefault="00742CB1" w14:paraId="307FC9B8" w14:textId="60274E46">
            <w:pPr>
              <w:ind w:left="360" w:hanging="352"/>
              <w:jc w:val="both"/>
              <w:rPr>
                <w:bCs/>
              </w:rPr>
            </w:pPr>
            <w:r w:rsidRPr="005008E4">
              <w:rPr>
                <w:bCs/>
              </w:rPr>
              <w:t>30.</w:t>
            </w:r>
          </w:p>
        </w:tc>
        <w:tc>
          <w:tcPr>
            <w:tcW w:w="3260" w:type="dxa"/>
            <w:gridSpan w:val="3"/>
            <w:tcBorders>
              <w:left w:val="single" w:color="000000" w:sz="6" w:space="0"/>
              <w:bottom w:val="single" w:color="auto" w:sz="4" w:space="0"/>
              <w:right w:val="single" w:color="000000" w:sz="6" w:space="0"/>
            </w:tcBorders>
            <w:shd w:val="clear" w:color="auto" w:fill="auto"/>
          </w:tcPr>
          <w:p w:rsidRPr="00823410" w:rsidR="00C77882" w:rsidP="00C77882" w:rsidRDefault="00916891" w14:paraId="316A7249" w14:textId="0323A7B2">
            <w:pPr>
              <w:jc w:val="both"/>
            </w:pPr>
            <w:r>
              <w:t>Skatīt projekta anotāciju</w:t>
            </w:r>
          </w:p>
        </w:tc>
        <w:tc>
          <w:tcPr>
            <w:tcW w:w="4253" w:type="dxa"/>
            <w:gridSpan w:val="2"/>
            <w:tcBorders>
              <w:left w:val="single" w:color="000000" w:sz="6" w:space="0"/>
              <w:bottom w:val="single" w:color="auto" w:sz="4" w:space="0"/>
              <w:right w:val="single" w:color="000000" w:sz="6" w:space="0"/>
            </w:tcBorders>
            <w:shd w:val="clear" w:color="auto" w:fill="auto"/>
          </w:tcPr>
          <w:p w:rsidRPr="009656F5" w:rsidR="00823410" w:rsidP="009656F5" w:rsidRDefault="0009614A" w14:paraId="5BAF1736" w14:textId="44401961">
            <w:pPr>
              <w:jc w:val="both"/>
            </w:pPr>
            <w:r w:rsidRPr="0009614A">
              <w:t>Vēršam uzmanību, ka Direktīvas 10. panta 15. punktā un 12. panta 2. punkta otrā rindkopā ietverta dalībvalstu rīcības brīvība. Ievērojot minēto, lūdzam papildināt Tabulu saskaņā ar instrukcijas 56.5. apakšpunktu.</w:t>
            </w:r>
          </w:p>
        </w:tc>
        <w:tc>
          <w:tcPr>
            <w:tcW w:w="2126" w:type="dxa"/>
            <w:tcBorders>
              <w:left w:val="single" w:color="000000" w:sz="6" w:space="0"/>
              <w:bottom w:val="single" w:color="auto" w:sz="4" w:space="0"/>
              <w:right w:val="single" w:color="000000" w:sz="6" w:space="0"/>
            </w:tcBorders>
            <w:shd w:val="clear" w:color="auto" w:fill="auto"/>
          </w:tcPr>
          <w:p w:rsidR="00C77882" w:rsidP="00BF19C5" w:rsidRDefault="00FD5A1B" w14:paraId="5C2755B8" w14:textId="77777777">
            <w:pPr>
              <w:jc w:val="center"/>
              <w:rPr>
                <w:b/>
              </w:rPr>
            </w:pPr>
            <w:r>
              <w:rPr>
                <w:b/>
              </w:rPr>
              <w:t>Ņ</w:t>
            </w:r>
            <w:r w:rsidRPr="00823410">
              <w:rPr>
                <w:b/>
              </w:rPr>
              <w:t>emts vērā.</w:t>
            </w:r>
          </w:p>
          <w:p w:rsidRPr="00823410" w:rsidR="005A582D" w:rsidP="009656F5" w:rsidRDefault="005A582D" w14:paraId="671A5166" w14:textId="7A060168">
            <w:pPr>
              <w:jc w:val="both"/>
              <w:rPr>
                <w:b/>
              </w:rPr>
            </w:pPr>
          </w:p>
        </w:tc>
        <w:tc>
          <w:tcPr>
            <w:tcW w:w="4278" w:type="dxa"/>
            <w:gridSpan w:val="3"/>
            <w:tcBorders>
              <w:top w:val="single" w:color="auto" w:sz="4" w:space="0"/>
              <w:left w:val="single" w:color="auto" w:sz="4" w:space="0"/>
              <w:bottom w:val="single" w:color="auto" w:sz="4" w:space="0"/>
            </w:tcBorders>
            <w:shd w:val="clear" w:color="auto" w:fill="auto"/>
          </w:tcPr>
          <w:p w:rsidRPr="00823410" w:rsidR="00C77882" w:rsidP="009656F5" w:rsidRDefault="00916891" w14:paraId="77B1ADA3" w14:textId="776CA247">
            <w:pPr>
              <w:ind w:left="57" w:right="57"/>
              <w:jc w:val="both"/>
            </w:pPr>
            <w:r>
              <w:t>Papildināta anotācijas V sadaļas 1. tabula.</w:t>
            </w:r>
          </w:p>
        </w:tc>
      </w:tr>
      <w:tr w:rsidRPr="00B06CC0" w:rsidR="00B70389" w:rsidTr="00982A1C" w14:paraId="5C3A52E8" w14:textId="77777777">
        <w:tblPrEx>
          <w:tblBorders>
            <w:top w:val="none" w:color="auto" w:sz="0" w:space="0"/>
            <w:left w:val="none" w:color="auto" w:sz="0" w:space="0"/>
            <w:bottom w:val="none" w:color="auto" w:sz="0" w:space="0"/>
            <w:right w:val="none" w:color="auto" w:sz="0" w:space="0"/>
          </w:tblBorders>
        </w:tblPrEx>
        <w:trPr>
          <w:gridBefore w:val="1"/>
          <w:gridAfter w:val="4"/>
          <w:wBefore w:w="34" w:type="dxa"/>
          <w:wAfter w:w="6404" w:type="dxa"/>
        </w:trPr>
        <w:tc>
          <w:tcPr>
            <w:tcW w:w="2157" w:type="dxa"/>
            <w:gridSpan w:val="3"/>
          </w:tcPr>
          <w:p w:rsidRPr="00B06CC0" w:rsidR="00B70389" w:rsidP="00B06CC0" w:rsidRDefault="00B70389" w14:paraId="746B8BDE" w14:textId="2FD6433E">
            <w:pPr>
              <w:pStyle w:val="naiskr"/>
              <w:spacing w:before="0" w:after="0"/>
              <w:jc w:val="both"/>
            </w:pPr>
          </w:p>
        </w:tc>
        <w:tc>
          <w:tcPr>
            <w:tcW w:w="5864" w:type="dxa"/>
            <w:gridSpan w:val="3"/>
            <w:tcBorders>
              <w:top w:val="single" w:color="000000" w:sz="6" w:space="0"/>
            </w:tcBorders>
          </w:tcPr>
          <w:p w:rsidRPr="00B06CC0" w:rsidR="00B70389" w:rsidP="00B06CC0" w:rsidRDefault="00B70389" w14:paraId="5CE1C473" w14:textId="77777777">
            <w:pPr>
              <w:pStyle w:val="naisc"/>
              <w:spacing w:before="0" w:after="0"/>
              <w:jc w:val="both"/>
            </w:pPr>
          </w:p>
        </w:tc>
      </w:tr>
    </w:tbl>
    <w:p w:rsidR="00C941FB" w:rsidP="00C941FB" w:rsidRDefault="00C941FB" w14:paraId="61D49479" w14:textId="77777777">
      <w:pPr>
        <w:ind w:left="3600" w:hanging="3600"/>
        <w:jc w:val="both"/>
      </w:pPr>
    </w:p>
    <w:p w:rsidRPr="0066259F" w:rsidR="00C941FB" w:rsidP="00C941FB" w:rsidRDefault="00C941FB" w14:paraId="3350C20C" w14:textId="77777777">
      <w:pPr>
        <w:ind w:left="3600" w:hanging="3600"/>
        <w:jc w:val="both"/>
      </w:pPr>
      <w:r w:rsidRPr="0066259F">
        <w:t>Atbildīgā amatpersona                                                         ______________________________________________________________________</w:t>
      </w:r>
    </w:p>
    <w:p w:rsidRPr="0066259F" w:rsidR="00C941FB" w:rsidP="00C941FB" w:rsidRDefault="00C941FB" w14:paraId="3C3102E7" w14:textId="77777777">
      <w:pPr>
        <w:pStyle w:val="ListParagraph"/>
        <w:spacing w:after="0" w:line="240" w:lineRule="auto"/>
        <w:ind w:left="7200"/>
        <w:jc w:val="both"/>
        <w:rPr>
          <w:rFonts w:ascii="Times New Roman" w:hAnsi="Times New Roman"/>
          <w:sz w:val="24"/>
          <w:szCs w:val="24"/>
        </w:rPr>
      </w:pPr>
      <w:r w:rsidRPr="0066259F">
        <w:rPr>
          <w:rFonts w:ascii="Times New Roman" w:hAnsi="Times New Roman"/>
          <w:sz w:val="24"/>
          <w:szCs w:val="24"/>
        </w:rPr>
        <w:tab/>
        <w:t xml:space="preserve">                                                                                                                                               </w:t>
      </w:r>
    </w:p>
    <w:p w:rsidRPr="0066259F" w:rsidR="00C941FB" w:rsidP="00C941FB" w:rsidRDefault="00C941FB" w14:paraId="3F4928C4" w14:textId="77777777">
      <w:pPr>
        <w:pStyle w:val="ListParagraph"/>
        <w:spacing w:after="0" w:line="240" w:lineRule="auto"/>
        <w:ind w:left="7200"/>
        <w:jc w:val="both"/>
        <w:rPr>
          <w:rFonts w:ascii="Times New Roman" w:hAnsi="Times New Roman"/>
          <w:sz w:val="24"/>
          <w:szCs w:val="24"/>
        </w:rPr>
      </w:pPr>
      <w:r w:rsidRPr="0066259F">
        <w:rPr>
          <w:sz w:val="24"/>
          <w:szCs w:val="24"/>
        </w:rPr>
        <w:t xml:space="preserve"> </w:t>
      </w:r>
      <w:r w:rsidRPr="0066259F">
        <w:rPr>
          <w:rFonts w:ascii="Times New Roman" w:hAnsi="Times New Roman"/>
          <w:sz w:val="24"/>
          <w:szCs w:val="24"/>
        </w:rPr>
        <w:t xml:space="preserve"> (P. Markēvičs)</w:t>
      </w:r>
      <w:r w:rsidRPr="0066259F">
        <w:rPr>
          <w:rFonts w:ascii="Times New Roman" w:hAnsi="Times New Roman"/>
          <w:sz w:val="24"/>
          <w:szCs w:val="24"/>
        </w:rPr>
        <w:tab/>
        <w:t xml:space="preserve">                                                                                                                                               </w:t>
      </w:r>
    </w:p>
    <w:p w:rsidRPr="0066259F" w:rsidR="00C941FB" w:rsidP="00C941FB" w:rsidRDefault="00C941FB" w14:paraId="74ADC0AA" w14:textId="77777777">
      <w:pPr>
        <w:pStyle w:val="naisf"/>
        <w:spacing w:before="0" w:after="0"/>
        <w:ind w:firstLine="0"/>
      </w:pPr>
      <w:r w:rsidRPr="0066259F">
        <w:t>Patriks Markēvičs</w:t>
      </w:r>
    </w:p>
    <w:p w:rsidRPr="0066259F" w:rsidR="00C941FB" w:rsidP="00C941FB" w:rsidRDefault="00C941FB" w14:paraId="48C53550" w14:textId="77777777">
      <w:pPr>
        <w:pStyle w:val="naisf"/>
        <w:spacing w:before="0" w:after="0"/>
        <w:ind w:firstLine="0"/>
      </w:pPr>
      <w:r w:rsidRPr="0066259F">
        <w:t>Satiksmes ministrijas</w:t>
      </w:r>
    </w:p>
    <w:p w:rsidRPr="0066259F" w:rsidR="00C941FB" w:rsidP="00C941FB" w:rsidRDefault="00C941FB" w14:paraId="509B2C22" w14:textId="77777777">
      <w:pPr>
        <w:pStyle w:val="naisf"/>
        <w:spacing w:before="0" w:after="0"/>
        <w:ind w:firstLine="0"/>
      </w:pPr>
      <w:r w:rsidRPr="0066259F">
        <w:t>Dzelzceļa departamenta direktors,</w:t>
      </w:r>
    </w:p>
    <w:p w:rsidRPr="0066259F" w:rsidR="00C941FB" w:rsidP="00C941FB" w:rsidRDefault="00C941FB" w14:paraId="6BF8E7AB" w14:textId="77777777">
      <w:pPr>
        <w:pStyle w:val="naisf"/>
        <w:spacing w:before="0" w:after="0"/>
        <w:ind w:firstLine="0"/>
      </w:pPr>
      <w:r w:rsidRPr="0066259F">
        <w:t xml:space="preserve">tālr. </w:t>
      </w:r>
      <w:r w:rsidRPr="0066259F">
        <w:rPr>
          <w:iCs/>
        </w:rPr>
        <w:t xml:space="preserve">67028192, </w:t>
      </w:r>
      <w:hyperlink w:history="1" r:id="rId9">
        <w:r w:rsidRPr="0066259F">
          <w:rPr>
            <w:rStyle w:val="Hyperlink"/>
            <w:color w:val="auto"/>
          </w:rPr>
          <w:t>patriks.markevics@sam.gov.lv</w:t>
        </w:r>
      </w:hyperlink>
      <w:r w:rsidRPr="0066259F">
        <w:t xml:space="preserve"> </w:t>
      </w:r>
    </w:p>
    <w:p w:rsidRPr="00B06CC0" w:rsidR="008F33E7" w:rsidP="00C941FB" w:rsidRDefault="008F33E7" w14:paraId="6007BBD4" w14:textId="4F6B48CC">
      <w:pPr>
        <w:ind w:left="3600" w:hanging="3600"/>
        <w:jc w:val="both"/>
      </w:pPr>
    </w:p>
    <w:sectPr w:rsidRPr="00B06CC0" w:rsidR="008F33E7" w:rsidSect="005625D9">
      <w:headerReference w:type="even" r:id="rId10"/>
      <w:headerReference w:type="default" r:id="rId11"/>
      <w:footerReference w:type="default" r:id="rId12"/>
      <w:footerReference w:type="first" r:id="rId13"/>
      <w:pgSz w:w="16838" w:h="11906" w:orient="landscape" w:code="9"/>
      <w:pgMar w:top="0"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B2D4" w14:textId="77777777" w:rsidR="00630E99" w:rsidRDefault="00630E99">
      <w:r>
        <w:separator/>
      </w:r>
    </w:p>
  </w:endnote>
  <w:endnote w:type="continuationSeparator" w:id="0">
    <w:p w14:paraId="510FA41F" w14:textId="77777777" w:rsidR="00630E99" w:rsidRDefault="0063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CC93" w14:textId="77777777" w:rsidR="00D26D0D" w:rsidRDefault="00D26D0D" w:rsidP="009201E0">
    <w:pPr>
      <w:pStyle w:val="Header"/>
    </w:pPr>
  </w:p>
  <w:p w14:paraId="69CCF55F" w14:textId="77777777" w:rsidR="00D26D0D" w:rsidRDefault="00D26D0D" w:rsidP="009201E0"/>
  <w:p w14:paraId="76EE32C5" w14:textId="5E2039BE" w:rsidR="00D26D0D" w:rsidRDefault="00D26D0D" w:rsidP="0099521B">
    <w:pPr>
      <w:pStyle w:val="Header"/>
      <w:tabs>
        <w:tab w:val="clear" w:pos="4153"/>
        <w:tab w:val="clear" w:pos="8306"/>
        <w:tab w:val="left" w:pos="3047"/>
      </w:tabs>
    </w:pPr>
    <w:r>
      <w:tab/>
    </w:r>
  </w:p>
  <w:p w14:paraId="2B1EBA09" w14:textId="77777777" w:rsidR="00D26D0D" w:rsidRDefault="00D26D0D" w:rsidP="002F12E6"/>
  <w:p w14:paraId="54D3B885" w14:textId="0FD826F1" w:rsidR="00D26D0D" w:rsidRDefault="00D26D0D" w:rsidP="00144CE0">
    <w:pPr>
      <w:pStyle w:val="Header"/>
      <w:tabs>
        <w:tab w:val="clear" w:pos="4153"/>
        <w:tab w:val="clear" w:pos="8306"/>
        <w:tab w:val="left" w:pos="10530"/>
        <w:tab w:val="left" w:pos="12930"/>
      </w:tabs>
    </w:pPr>
    <w:r>
      <w:tab/>
    </w:r>
    <w:r>
      <w:tab/>
    </w:r>
  </w:p>
  <w:p w14:paraId="595AAA92" w14:textId="77777777" w:rsidR="00D26D0D" w:rsidRDefault="00D26D0D" w:rsidP="00A125ED">
    <w:pPr>
      <w:jc w:val="center"/>
    </w:pPr>
  </w:p>
  <w:p w14:paraId="064E7E3B" w14:textId="404F3F20" w:rsidR="00D26D0D" w:rsidRPr="009201E0" w:rsidRDefault="00D26D0D" w:rsidP="00C51730">
    <w:pPr>
      <w:pStyle w:val="Footer"/>
      <w:rPr>
        <w:sz w:val="20"/>
        <w:szCs w:val="16"/>
      </w:rPr>
    </w:pPr>
    <w:r>
      <w:rPr>
        <w:sz w:val="20"/>
        <w:szCs w:val="16"/>
      </w:rPr>
      <w:t>SMIzz_</w:t>
    </w:r>
    <w:r w:rsidR="00244EC4">
      <w:rPr>
        <w:sz w:val="20"/>
        <w:szCs w:val="16"/>
      </w:rPr>
      <w:t>1</w:t>
    </w:r>
    <w:r w:rsidR="00213CA5">
      <w:rPr>
        <w:sz w:val="20"/>
        <w:szCs w:val="16"/>
      </w:rPr>
      <w:t>8</w:t>
    </w:r>
    <w:r w:rsidR="00244EC4">
      <w:rPr>
        <w:sz w:val="20"/>
        <w:szCs w:val="16"/>
      </w:rPr>
      <w:t>05</w:t>
    </w:r>
    <w:r>
      <w:rPr>
        <w:sz w:val="20"/>
        <w:szCs w:val="16"/>
      </w:rPr>
      <w:t>20_VSS-215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EE07" w14:textId="0F8D513C" w:rsidR="00D26D0D" w:rsidRPr="009F41F2" w:rsidRDefault="00D26D0D" w:rsidP="009F41F2">
    <w:pPr>
      <w:pStyle w:val="Footer"/>
    </w:pPr>
    <w:r w:rsidRPr="009F41F2">
      <w:rPr>
        <w:sz w:val="20"/>
        <w:szCs w:val="16"/>
      </w:rPr>
      <w:t>SMIzz_</w:t>
    </w:r>
    <w:r w:rsidR="00244EC4">
      <w:rPr>
        <w:sz w:val="20"/>
        <w:szCs w:val="16"/>
      </w:rPr>
      <w:t>1</w:t>
    </w:r>
    <w:r w:rsidR="00213CA5">
      <w:rPr>
        <w:sz w:val="20"/>
        <w:szCs w:val="16"/>
      </w:rPr>
      <w:t>8</w:t>
    </w:r>
    <w:r w:rsidR="00244EC4">
      <w:rPr>
        <w:sz w:val="20"/>
        <w:szCs w:val="16"/>
      </w:rPr>
      <w:t>05</w:t>
    </w:r>
    <w:r w:rsidRPr="009F41F2">
      <w:rPr>
        <w:sz w:val="20"/>
        <w:szCs w:val="16"/>
      </w:rPr>
      <w:t>20_VSS-215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6007" w14:textId="77777777" w:rsidR="00630E99" w:rsidRDefault="00630E99">
      <w:r>
        <w:separator/>
      </w:r>
    </w:p>
  </w:footnote>
  <w:footnote w:type="continuationSeparator" w:id="0">
    <w:p w14:paraId="20D20067" w14:textId="77777777" w:rsidR="00630E99" w:rsidRDefault="0063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D0D" w:rsidP="00364BB6" w:rsidRDefault="00D26D0D"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D0D" w:rsidRDefault="00D26D0D"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D0D" w:rsidP="00364BB6" w:rsidRDefault="00D26D0D"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AF1">
      <w:rPr>
        <w:rStyle w:val="PageNumber"/>
        <w:noProof/>
      </w:rPr>
      <w:t>2</w:t>
    </w:r>
    <w:r>
      <w:rPr>
        <w:rStyle w:val="PageNumber"/>
      </w:rPr>
      <w:fldChar w:fldCharType="end"/>
    </w:r>
  </w:p>
  <w:p w:rsidR="00D26D0D" w:rsidRDefault="00D26D0D"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15:restartNumberingAfterBreak="0">
    <w:nsid w:val="02484510"/>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14245"/>
    <w:multiLevelType w:val="hybridMultilevel"/>
    <w:tmpl w:val="23445F98"/>
    <w:lvl w:ilvl="0" w:tplc="FFFFFFFF">
      <w:start w:val="1"/>
      <w:numFmt w:val="bullet"/>
      <w:lvlText w:val=""/>
      <w:lvlJc w:val="left"/>
      <w:pPr>
        <w:ind w:left="2487"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E82DA6"/>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F30FC0"/>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5F21"/>
    <w:multiLevelType w:val="hybridMultilevel"/>
    <w:tmpl w:val="EB34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8B46E8"/>
    <w:multiLevelType w:val="hybridMultilevel"/>
    <w:tmpl w:val="6314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8E67C5"/>
    <w:multiLevelType w:val="hybridMultilevel"/>
    <w:tmpl w:val="86608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A614FC"/>
    <w:multiLevelType w:val="hybridMultilevel"/>
    <w:tmpl w:val="6688D7CC"/>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31A7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156D3529"/>
    <w:multiLevelType w:val="hybridMultilevel"/>
    <w:tmpl w:val="95EC1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6514A2B"/>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16817DD8"/>
    <w:multiLevelType w:val="hybridMultilevel"/>
    <w:tmpl w:val="200E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A4790F"/>
    <w:multiLevelType w:val="hybridMultilevel"/>
    <w:tmpl w:val="F536BC1E"/>
    <w:lvl w:ilvl="0" w:tplc="4856A2D2">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EC5188"/>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D5C39"/>
    <w:multiLevelType w:val="hybridMultilevel"/>
    <w:tmpl w:val="7E88CD02"/>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5E5C20"/>
    <w:multiLevelType w:val="hybridMultilevel"/>
    <w:tmpl w:val="664CD75A"/>
    <w:lvl w:ilvl="0" w:tplc="9068906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CA63A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97212"/>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2A801E37"/>
    <w:multiLevelType w:val="hybridMultilevel"/>
    <w:tmpl w:val="CF56BEA6"/>
    <w:lvl w:ilvl="0" w:tplc="E2A434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2C5021D3"/>
    <w:multiLevelType w:val="hybridMultilevel"/>
    <w:tmpl w:val="1EE494D2"/>
    <w:lvl w:ilvl="0" w:tplc="C6206714">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153CC"/>
    <w:multiLevelType w:val="multilevel"/>
    <w:tmpl w:val="CC8EE4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1652C61"/>
    <w:multiLevelType w:val="hybridMultilevel"/>
    <w:tmpl w:val="6D6A0AA6"/>
    <w:lvl w:ilvl="0" w:tplc="36302C94">
      <w:start w:val="1"/>
      <w:numFmt w:val="decimal"/>
      <w:lvlText w:val="%1."/>
      <w:lvlJc w:val="left"/>
      <w:pPr>
        <w:ind w:left="720" w:hanging="360"/>
      </w:pPr>
      <w:rPr>
        <w:rFonts w:hint="default"/>
      </w:rPr>
    </w:lvl>
    <w:lvl w:ilvl="1" w:tplc="74382680">
      <w:start w:val="1"/>
      <w:numFmt w:val="lowerLetter"/>
      <w:lvlText w:val="%2."/>
      <w:lvlJc w:val="left"/>
      <w:pPr>
        <w:ind w:left="1440" w:hanging="360"/>
      </w:pPr>
    </w:lvl>
    <w:lvl w:ilvl="2" w:tplc="66B6BCC4" w:tentative="1">
      <w:start w:val="1"/>
      <w:numFmt w:val="lowerRoman"/>
      <w:lvlText w:val="%3."/>
      <w:lvlJc w:val="right"/>
      <w:pPr>
        <w:ind w:left="2160" w:hanging="180"/>
      </w:pPr>
    </w:lvl>
    <w:lvl w:ilvl="3" w:tplc="517670AA" w:tentative="1">
      <w:start w:val="1"/>
      <w:numFmt w:val="decimal"/>
      <w:lvlText w:val="%4."/>
      <w:lvlJc w:val="left"/>
      <w:pPr>
        <w:ind w:left="2880" w:hanging="360"/>
      </w:pPr>
    </w:lvl>
    <w:lvl w:ilvl="4" w:tplc="92600600" w:tentative="1">
      <w:start w:val="1"/>
      <w:numFmt w:val="lowerLetter"/>
      <w:lvlText w:val="%5."/>
      <w:lvlJc w:val="left"/>
      <w:pPr>
        <w:ind w:left="3600" w:hanging="360"/>
      </w:pPr>
    </w:lvl>
    <w:lvl w:ilvl="5" w:tplc="AEDCAC2A" w:tentative="1">
      <w:start w:val="1"/>
      <w:numFmt w:val="lowerRoman"/>
      <w:lvlText w:val="%6."/>
      <w:lvlJc w:val="right"/>
      <w:pPr>
        <w:ind w:left="4320" w:hanging="180"/>
      </w:pPr>
    </w:lvl>
    <w:lvl w:ilvl="6" w:tplc="757A4538" w:tentative="1">
      <w:start w:val="1"/>
      <w:numFmt w:val="decimal"/>
      <w:lvlText w:val="%7."/>
      <w:lvlJc w:val="left"/>
      <w:pPr>
        <w:ind w:left="5040" w:hanging="360"/>
      </w:pPr>
    </w:lvl>
    <w:lvl w:ilvl="7" w:tplc="EDC67DB8" w:tentative="1">
      <w:start w:val="1"/>
      <w:numFmt w:val="lowerLetter"/>
      <w:lvlText w:val="%8."/>
      <w:lvlJc w:val="left"/>
      <w:pPr>
        <w:ind w:left="5760" w:hanging="360"/>
      </w:pPr>
    </w:lvl>
    <w:lvl w:ilvl="8" w:tplc="69626DBE" w:tentative="1">
      <w:start w:val="1"/>
      <w:numFmt w:val="lowerRoman"/>
      <w:lvlText w:val="%9."/>
      <w:lvlJc w:val="right"/>
      <w:pPr>
        <w:ind w:left="6480" w:hanging="180"/>
      </w:pPr>
    </w:lvl>
  </w:abstractNum>
  <w:abstractNum w:abstractNumId="24" w15:restartNumberingAfterBreak="0">
    <w:nsid w:val="329C463A"/>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CB1300"/>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15:restartNumberingAfterBreak="0">
    <w:nsid w:val="3D59503A"/>
    <w:multiLevelType w:val="hybridMultilevel"/>
    <w:tmpl w:val="F320AB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A7135B"/>
    <w:multiLevelType w:val="hybridMultilevel"/>
    <w:tmpl w:val="ABBCD970"/>
    <w:lvl w:ilvl="0" w:tplc="C6206714">
      <w:start w:val="10"/>
      <w:numFmt w:val="decimal"/>
      <w:lvlText w:val="%1."/>
      <w:lvlJc w:val="left"/>
      <w:pPr>
        <w:ind w:left="644" w:hanging="36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D26BA"/>
    <w:multiLevelType w:val="hybridMultilevel"/>
    <w:tmpl w:val="3E5A75C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A251A7"/>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6A23B8"/>
    <w:multiLevelType w:val="hybridMultilevel"/>
    <w:tmpl w:val="D94E15F0"/>
    <w:lvl w:ilvl="0" w:tplc="A4E45504">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15:restartNumberingAfterBreak="0">
    <w:nsid w:val="5BE40B29"/>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65A2D"/>
    <w:multiLevelType w:val="hybridMultilevel"/>
    <w:tmpl w:val="8AD6B53E"/>
    <w:lvl w:ilvl="0" w:tplc="FFFFFFFF">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50B1C12"/>
    <w:multiLevelType w:val="hybridMultilevel"/>
    <w:tmpl w:val="7332CEC2"/>
    <w:lvl w:ilvl="0" w:tplc="EB7EE716">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E247F6"/>
    <w:multiLevelType w:val="hybridMultilevel"/>
    <w:tmpl w:val="D4E4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753FBC"/>
    <w:multiLevelType w:val="hybridMultilevel"/>
    <w:tmpl w:val="1EE494D2"/>
    <w:lvl w:ilvl="0" w:tplc="C6206714">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B6551"/>
    <w:multiLevelType w:val="hybridMultilevel"/>
    <w:tmpl w:val="B3AC6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FF42681"/>
    <w:multiLevelType w:val="hybridMultilevel"/>
    <w:tmpl w:val="607ABC46"/>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0341E3"/>
    <w:multiLevelType w:val="hybridMultilevel"/>
    <w:tmpl w:val="B9E4D940"/>
    <w:lvl w:ilvl="0" w:tplc="FCF632F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826F9A"/>
    <w:multiLevelType w:val="hybridMultilevel"/>
    <w:tmpl w:val="607ABC46"/>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BA4703"/>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27041"/>
    <w:multiLevelType w:val="hybridMultilevel"/>
    <w:tmpl w:val="ABBCD970"/>
    <w:lvl w:ilvl="0" w:tplc="C6206714">
      <w:start w:val="10"/>
      <w:numFmt w:val="decimal"/>
      <w:lvlText w:val="%1."/>
      <w:lvlJc w:val="left"/>
      <w:pPr>
        <w:ind w:left="644" w:hanging="36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DC94A98"/>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D1106D"/>
    <w:multiLevelType w:val="hybridMultilevel"/>
    <w:tmpl w:val="C54EBBB6"/>
    <w:lvl w:ilvl="0" w:tplc="EEEA47E4">
      <w:start w:val="1"/>
      <w:numFmt w:val="bullet"/>
      <w:lvlText w:val=""/>
      <w:lvlJc w:val="left"/>
      <w:pPr>
        <w:ind w:left="360" w:hanging="360"/>
      </w:pPr>
      <w:rPr>
        <w:rFonts w:ascii="Symbol" w:hAnsi="Symbol" w:hint="default"/>
      </w:rPr>
    </w:lvl>
    <w:lvl w:ilvl="1" w:tplc="427E6A1A" w:tentative="1">
      <w:start w:val="1"/>
      <w:numFmt w:val="bullet"/>
      <w:lvlText w:val="o"/>
      <w:lvlJc w:val="left"/>
      <w:pPr>
        <w:ind w:left="1080" w:hanging="360"/>
      </w:pPr>
      <w:rPr>
        <w:rFonts w:ascii="Courier New" w:hAnsi="Courier New" w:cs="Courier New" w:hint="default"/>
      </w:rPr>
    </w:lvl>
    <w:lvl w:ilvl="2" w:tplc="C0588906" w:tentative="1">
      <w:start w:val="1"/>
      <w:numFmt w:val="bullet"/>
      <w:lvlText w:val=""/>
      <w:lvlJc w:val="left"/>
      <w:pPr>
        <w:ind w:left="1800" w:hanging="360"/>
      </w:pPr>
      <w:rPr>
        <w:rFonts w:ascii="Wingdings" w:hAnsi="Wingdings" w:hint="default"/>
      </w:rPr>
    </w:lvl>
    <w:lvl w:ilvl="3" w:tplc="321EEF50" w:tentative="1">
      <w:start w:val="1"/>
      <w:numFmt w:val="bullet"/>
      <w:lvlText w:val=""/>
      <w:lvlJc w:val="left"/>
      <w:pPr>
        <w:ind w:left="2520" w:hanging="360"/>
      </w:pPr>
      <w:rPr>
        <w:rFonts w:ascii="Symbol" w:hAnsi="Symbol" w:hint="default"/>
      </w:rPr>
    </w:lvl>
    <w:lvl w:ilvl="4" w:tplc="6F709DD8" w:tentative="1">
      <w:start w:val="1"/>
      <w:numFmt w:val="bullet"/>
      <w:lvlText w:val="o"/>
      <w:lvlJc w:val="left"/>
      <w:pPr>
        <w:ind w:left="3240" w:hanging="360"/>
      </w:pPr>
      <w:rPr>
        <w:rFonts w:ascii="Courier New" w:hAnsi="Courier New" w:cs="Courier New" w:hint="default"/>
      </w:rPr>
    </w:lvl>
    <w:lvl w:ilvl="5" w:tplc="DFF20782" w:tentative="1">
      <w:start w:val="1"/>
      <w:numFmt w:val="bullet"/>
      <w:lvlText w:val=""/>
      <w:lvlJc w:val="left"/>
      <w:pPr>
        <w:ind w:left="3960" w:hanging="360"/>
      </w:pPr>
      <w:rPr>
        <w:rFonts w:ascii="Wingdings" w:hAnsi="Wingdings" w:hint="default"/>
      </w:rPr>
    </w:lvl>
    <w:lvl w:ilvl="6" w:tplc="54964F52" w:tentative="1">
      <w:start w:val="1"/>
      <w:numFmt w:val="bullet"/>
      <w:lvlText w:val=""/>
      <w:lvlJc w:val="left"/>
      <w:pPr>
        <w:ind w:left="4680" w:hanging="360"/>
      </w:pPr>
      <w:rPr>
        <w:rFonts w:ascii="Symbol" w:hAnsi="Symbol" w:hint="default"/>
      </w:rPr>
    </w:lvl>
    <w:lvl w:ilvl="7" w:tplc="965240B8" w:tentative="1">
      <w:start w:val="1"/>
      <w:numFmt w:val="bullet"/>
      <w:lvlText w:val="o"/>
      <w:lvlJc w:val="left"/>
      <w:pPr>
        <w:ind w:left="5400" w:hanging="360"/>
      </w:pPr>
      <w:rPr>
        <w:rFonts w:ascii="Courier New" w:hAnsi="Courier New" w:cs="Courier New" w:hint="default"/>
      </w:rPr>
    </w:lvl>
    <w:lvl w:ilvl="8" w:tplc="384AB8D6"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32"/>
  </w:num>
  <w:num w:numId="4">
    <w:abstractNumId w:val="15"/>
  </w:num>
  <w:num w:numId="5">
    <w:abstractNumId w:val="4"/>
  </w:num>
  <w:num w:numId="6">
    <w:abstractNumId w:val="2"/>
  </w:num>
  <w:num w:numId="7">
    <w:abstractNumId w:val="33"/>
  </w:num>
  <w:num w:numId="8">
    <w:abstractNumId w:val="26"/>
  </w:num>
  <w:num w:numId="9">
    <w:abstractNumId w:val="45"/>
  </w:num>
  <w:num w:numId="10">
    <w:abstractNumId w:val="25"/>
  </w:num>
  <w:num w:numId="11">
    <w:abstractNumId w:val="12"/>
  </w:num>
  <w:num w:numId="12">
    <w:abstractNumId w:val="19"/>
  </w:num>
  <w:num w:numId="13">
    <w:abstractNumId w:val="22"/>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29"/>
  </w:num>
  <w:num w:numId="24">
    <w:abstractNumId w:val="6"/>
  </w:num>
  <w:num w:numId="25">
    <w:abstractNumId w:val="42"/>
  </w:num>
  <w:num w:numId="26">
    <w:abstractNumId w:val="30"/>
  </w:num>
  <w:num w:numId="27">
    <w:abstractNumId w:val="20"/>
  </w:num>
  <w:num w:numId="28">
    <w:abstractNumId w:val="1"/>
  </w:num>
  <w:num w:numId="29">
    <w:abstractNumId w:val="24"/>
  </w:num>
  <w:num w:numId="30">
    <w:abstractNumId w:val="44"/>
  </w:num>
  <w:num w:numId="31">
    <w:abstractNumId w:val="40"/>
  </w:num>
  <w:num w:numId="32">
    <w:abstractNumId w:val="37"/>
  </w:num>
  <w:num w:numId="33">
    <w:abstractNumId w:val="36"/>
  </w:num>
  <w:num w:numId="34">
    <w:abstractNumId w:val="21"/>
  </w:num>
  <w:num w:numId="35">
    <w:abstractNumId w:val="43"/>
  </w:num>
  <w:num w:numId="36">
    <w:abstractNumId w:val="27"/>
  </w:num>
  <w:num w:numId="37">
    <w:abstractNumId w:val="3"/>
  </w:num>
  <w:num w:numId="38">
    <w:abstractNumId w:val="14"/>
  </w:num>
  <w:num w:numId="39">
    <w:abstractNumId w:val="13"/>
  </w:num>
  <w:num w:numId="40">
    <w:abstractNumId w:val="5"/>
  </w:num>
  <w:num w:numId="41">
    <w:abstractNumId w:val="17"/>
  </w:num>
  <w:num w:numId="42">
    <w:abstractNumId w:val="34"/>
  </w:num>
  <w:num w:numId="43">
    <w:abstractNumId w:val="38"/>
  </w:num>
  <w:num w:numId="44">
    <w:abstractNumId w:val="41"/>
  </w:num>
  <w:num w:numId="45">
    <w:abstractNumId w:val="16"/>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AB2"/>
    <w:rsid w:val="00011B2E"/>
    <w:rsid w:val="00011D46"/>
    <w:rsid w:val="00012007"/>
    <w:rsid w:val="0001223C"/>
    <w:rsid w:val="0001249F"/>
    <w:rsid w:val="000125C0"/>
    <w:rsid w:val="0001263B"/>
    <w:rsid w:val="0001270C"/>
    <w:rsid w:val="000128F4"/>
    <w:rsid w:val="00012D70"/>
    <w:rsid w:val="00012FD2"/>
    <w:rsid w:val="00013113"/>
    <w:rsid w:val="00013277"/>
    <w:rsid w:val="00013426"/>
    <w:rsid w:val="000134BF"/>
    <w:rsid w:val="000136AA"/>
    <w:rsid w:val="00013B4C"/>
    <w:rsid w:val="00013BA3"/>
    <w:rsid w:val="00013BF6"/>
    <w:rsid w:val="000148EA"/>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1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76F"/>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0D"/>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6074"/>
    <w:rsid w:val="0009614A"/>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87"/>
    <w:rsid w:val="000B0C94"/>
    <w:rsid w:val="000B10D9"/>
    <w:rsid w:val="000B15E5"/>
    <w:rsid w:val="000B1882"/>
    <w:rsid w:val="000B1AE6"/>
    <w:rsid w:val="000B1DA8"/>
    <w:rsid w:val="000B1F2F"/>
    <w:rsid w:val="000B2382"/>
    <w:rsid w:val="000B2FD7"/>
    <w:rsid w:val="000B3171"/>
    <w:rsid w:val="000B3308"/>
    <w:rsid w:val="000B34A5"/>
    <w:rsid w:val="000B385A"/>
    <w:rsid w:val="000B3A51"/>
    <w:rsid w:val="000B3C55"/>
    <w:rsid w:val="000B3D9C"/>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751"/>
    <w:rsid w:val="000D7C0E"/>
    <w:rsid w:val="000D7C23"/>
    <w:rsid w:val="000D7FCB"/>
    <w:rsid w:val="000E00FE"/>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556"/>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01D"/>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5F3F"/>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D12"/>
    <w:rsid w:val="001255E6"/>
    <w:rsid w:val="00125610"/>
    <w:rsid w:val="00125C9A"/>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211"/>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3A"/>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3F1"/>
    <w:rsid w:val="0016457B"/>
    <w:rsid w:val="0016531E"/>
    <w:rsid w:val="0016565C"/>
    <w:rsid w:val="00165736"/>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77E41"/>
    <w:rsid w:val="00180125"/>
    <w:rsid w:val="00180218"/>
    <w:rsid w:val="00180453"/>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514"/>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188"/>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392F"/>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39"/>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5BAA"/>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C57"/>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432"/>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BAD"/>
    <w:rsid w:val="00212C9E"/>
    <w:rsid w:val="00212CFB"/>
    <w:rsid w:val="00212EA8"/>
    <w:rsid w:val="00212FCB"/>
    <w:rsid w:val="00213216"/>
    <w:rsid w:val="00213A21"/>
    <w:rsid w:val="00213CA5"/>
    <w:rsid w:val="002147FA"/>
    <w:rsid w:val="00214809"/>
    <w:rsid w:val="002149A1"/>
    <w:rsid w:val="00214B79"/>
    <w:rsid w:val="00214E45"/>
    <w:rsid w:val="00214E7A"/>
    <w:rsid w:val="00214FEB"/>
    <w:rsid w:val="00215BFE"/>
    <w:rsid w:val="00215C44"/>
    <w:rsid w:val="002160EB"/>
    <w:rsid w:val="00216116"/>
    <w:rsid w:val="002161A7"/>
    <w:rsid w:val="00216393"/>
    <w:rsid w:val="002168C5"/>
    <w:rsid w:val="00216E73"/>
    <w:rsid w:val="00217626"/>
    <w:rsid w:val="0021774C"/>
    <w:rsid w:val="0021779C"/>
    <w:rsid w:val="00217FDB"/>
    <w:rsid w:val="00217FF6"/>
    <w:rsid w:val="002201A8"/>
    <w:rsid w:val="00220A67"/>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3F07"/>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A62"/>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4"/>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502"/>
    <w:rsid w:val="002518E8"/>
    <w:rsid w:val="00251B93"/>
    <w:rsid w:val="00251C10"/>
    <w:rsid w:val="002523AA"/>
    <w:rsid w:val="0025247E"/>
    <w:rsid w:val="00252557"/>
    <w:rsid w:val="00252703"/>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291"/>
    <w:rsid w:val="002615F5"/>
    <w:rsid w:val="002616B9"/>
    <w:rsid w:val="00261B14"/>
    <w:rsid w:val="0026217B"/>
    <w:rsid w:val="002624B4"/>
    <w:rsid w:val="002624C0"/>
    <w:rsid w:val="00262835"/>
    <w:rsid w:val="002629E4"/>
    <w:rsid w:val="00262BD9"/>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D36"/>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362"/>
    <w:rsid w:val="0029368A"/>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116"/>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83D"/>
    <w:rsid w:val="002B1A56"/>
    <w:rsid w:val="002B1AE1"/>
    <w:rsid w:val="002B1DBF"/>
    <w:rsid w:val="002B1DD6"/>
    <w:rsid w:val="002B1E12"/>
    <w:rsid w:val="002B207F"/>
    <w:rsid w:val="002B2A48"/>
    <w:rsid w:val="002B2BEE"/>
    <w:rsid w:val="002B2F5B"/>
    <w:rsid w:val="002B31AD"/>
    <w:rsid w:val="002B3A2D"/>
    <w:rsid w:val="002B3EA7"/>
    <w:rsid w:val="002B3F06"/>
    <w:rsid w:val="002B4188"/>
    <w:rsid w:val="002B41B6"/>
    <w:rsid w:val="002B429F"/>
    <w:rsid w:val="002B4439"/>
    <w:rsid w:val="002B450C"/>
    <w:rsid w:val="002B4757"/>
    <w:rsid w:val="002B4BAE"/>
    <w:rsid w:val="002B538B"/>
    <w:rsid w:val="002B543E"/>
    <w:rsid w:val="002B581B"/>
    <w:rsid w:val="002B5AE4"/>
    <w:rsid w:val="002B5E53"/>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3B1F"/>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64F"/>
    <w:rsid w:val="0030093A"/>
    <w:rsid w:val="00300E93"/>
    <w:rsid w:val="00300F85"/>
    <w:rsid w:val="003016A7"/>
    <w:rsid w:val="00301755"/>
    <w:rsid w:val="00301A0B"/>
    <w:rsid w:val="00301C91"/>
    <w:rsid w:val="00301D87"/>
    <w:rsid w:val="003022AB"/>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B70"/>
    <w:rsid w:val="00311C10"/>
    <w:rsid w:val="00311CBE"/>
    <w:rsid w:val="00312280"/>
    <w:rsid w:val="00312705"/>
    <w:rsid w:val="00312B3A"/>
    <w:rsid w:val="00312B5E"/>
    <w:rsid w:val="00312BF6"/>
    <w:rsid w:val="00312CD0"/>
    <w:rsid w:val="00312E85"/>
    <w:rsid w:val="003130AE"/>
    <w:rsid w:val="003138F3"/>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C21"/>
    <w:rsid w:val="00320E31"/>
    <w:rsid w:val="00320F38"/>
    <w:rsid w:val="00321183"/>
    <w:rsid w:val="00321694"/>
    <w:rsid w:val="00321F0A"/>
    <w:rsid w:val="00322172"/>
    <w:rsid w:val="0032232A"/>
    <w:rsid w:val="003223CE"/>
    <w:rsid w:val="003223E9"/>
    <w:rsid w:val="0032244D"/>
    <w:rsid w:val="003225FB"/>
    <w:rsid w:val="00322A2D"/>
    <w:rsid w:val="00322E80"/>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4FD"/>
    <w:rsid w:val="00337FAC"/>
    <w:rsid w:val="00340A7C"/>
    <w:rsid w:val="00340CC1"/>
    <w:rsid w:val="00341229"/>
    <w:rsid w:val="003412FB"/>
    <w:rsid w:val="00341512"/>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296"/>
    <w:rsid w:val="0034567E"/>
    <w:rsid w:val="00345E4A"/>
    <w:rsid w:val="00346EB6"/>
    <w:rsid w:val="00346FDB"/>
    <w:rsid w:val="00347356"/>
    <w:rsid w:val="00347861"/>
    <w:rsid w:val="00347EDB"/>
    <w:rsid w:val="00347F82"/>
    <w:rsid w:val="00350187"/>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1A"/>
    <w:rsid w:val="00362CC4"/>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311"/>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628"/>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B01"/>
    <w:rsid w:val="003950EB"/>
    <w:rsid w:val="00395B38"/>
    <w:rsid w:val="00396E3B"/>
    <w:rsid w:val="00397677"/>
    <w:rsid w:val="003A05B5"/>
    <w:rsid w:val="003A07A1"/>
    <w:rsid w:val="003A09AA"/>
    <w:rsid w:val="003A0ACC"/>
    <w:rsid w:val="003A10A2"/>
    <w:rsid w:val="003A157A"/>
    <w:rsid w:val="003A2042"/>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209"/>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268"/>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4EC"/>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613"/>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A69"/>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F18"/>
    <w:rsid w:val="004201DE"/>
    <w:rsid w:val="004204D9"/>
    <w:rsid w:val="004205AE"/>
    <w:rsid w:val="0042063D"/>
    <w:rsid w:val="004207A0"/>
    <w:rsid w:val="00420AA8"/>
    <w:rsid w:val="00420BE1"/>
    <w:rsid w:val="00420D39"/>
    <w:rsid w:val="00421143"/>
    <w:rsid w:val="0042126B"/>
    <w:rsid w:val="004213F4"/>
    <w:rsid w:val="00421726"/>
    <w:rsid w:val="0042207D"/>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8A5"/>
    <w:rsid w:val="00433C40"/>
    <w:rsid w:val="00433EEF"/>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E48"/>
    <w:rsid w:val="00443003"/>
    <w:rsid w:val="0044314B"/>
    <w:rsid w:val="00443671"/>
    <w:rsid w:val="0044381E"/>
    <w:rsid w:val="00443BE2"/>
    <w:rsid w:val="00443DCD"/>
    <w:rsid w:val="00443E7E"/>
    <w:rsid w:val="00443E94"/>
    <w:rsid w:val="0044488E"/>
    <w:rsid w:val="004449D9"/>
    <w:rsid w:val="00444C06"/>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66"/>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4AE"/>
    <w:rsid w:val="004554C3"/>
    <w:rsid w:val="004556B4"/>
    <w:rsid w:val="00455914"/>
    <w:rsid w:val="00455996"/>
    <w:rsid w:val="00455C73"/>
    <w:rsid w:val="00455FB6"/>
    <w:rsid w:val="0045637B"/>
    <w:rsid w:val="0045684D"/>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04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409"/>
    <w:rsid w:val="004967B4"/>
    <w:rsid w:val="004967B5"/>
    <w:rsid w:val="004968A7"/>
    <w:rsid w:val="004968EE"/>
    <w:rsid w:val="00496ED4"/>
    <w:rsid w:val="00497181"/>
    <w:rsid w:val="00497D4A"/>
    <w:rsid w:val="004A0441"/>
    <w:rsid w:val="004A070C"/>
    <w:rsid w:val="004A084C"/>
    <w:rsid w:val="004A0C3F"/>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A31"/>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0E0B"/>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C6"/>
    <w:rsid w:val="004C60DD"/>
    <w:rsid w:val="004C6435"/>
    <w:rsid w:val="004C649B"/>
    <w:rsid w:val="004C6FFB"/>
    <w:rsid w:val="004C752A"/>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3AC"/>
    <w:rsid w:val="004E04AE"/>
    <w:rsid w:val="004E07EF"/>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817"/>
    <w:rsid w:val="004E4C40"/>
    <w:rsid w:val="004E4C7E"/>
    <w:rsid w:val="004E50C0"/>
    <w:rsid w:val="004E50F0"/>
    <w:rsid w:val="004E5668"/>
    <w:rsid w:val="004E5A68"/>
    <w:rsid w:val="004E5CED"/>
    <w:rsid w:val="004E67A9"/>
    <w:rsid w:val="004E6A03"/>
    <w:rsid w:val="004E7459"/>
    <w:rsid w:val="004E7BDF"/>
    <w:rsid w:val="004E7D30"/>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6BB"/>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8E4"/>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5D3"/>
    <w:rsid w:val="00504C0C"/>
    <w:rsid w:val="00504C67"/>
    <w:rsid w:val="00504E48"/>
    <w:rsid w:val="0050514D"/>
    <w:rsid w:val="0050529C"/>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3846"/>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27E60"/>
    <w:rsid w:val="00530136"/>
    <w:rsid w:val="005301C7"/>
    <w:rsid w:val="00530205"/>
    <w:rsid w:val="00530397"/>
    <w:rsid w:val="00530458"/>
    <w:rsid w:val="00530CCC"/>
    <w:rsid w:val="00530F73"/>
    <w:rsid w:val="00531A5D"/>
    <w:rsid w:val="00532132"/>
    <w:rsid w:val="0053253E"/>
    <w:rsid w:val="0053266D"/>
    <w:rsid w:val="0053279C"/>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990"/>
    <w:rsid w:val="00536D28"/>
    <w:rsid w:val="00536E2B"/>
    <w:rsid w:val="00537099"/>
    <w:rsid w:val="005370CD"/>
    <w:rsid w:val="00537291"/>
    <w:rsid w:val="005372C5"/>
    <w:rsid w:val="00537A26"/>
    <w:rsid w:val="005405D4"/>
    <w:rsid w:val="005407F0"/>
    <w:rsid w:val="00540E47"/>
    <w:rsid w:val="00541088"/>
    <w:rsid w:val="0054110E"/>
    <w:rsid w:val="00541177"/>
    <w:rsid w:val="005414B1"/>
    <w:rsid w:val="00541578"/>
    <w:rsid w:val="005416E0"/>
    <w:rsid w:val="005421FE"/>
    <w:rsid w:val="00542655"/>
    <w:rsid w:val="00542716"/>
    <w:rsid w:val="00542999"/>
    <w:rsid w:val="00542B91"/>
    <w:rsid w:val="00543283"/>
    <w:rsid w:val="005433B7"/>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87E"/>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134"/>
    <w:rsid w:val="0055740D"/>
    <w:rsid w:val="005602FA"/>
    <w:rsid w:val="0056069A"/>
    <w:rsid w:val="00560887"/>
    <w:rsid w:val="00560C3B"/>
    <w:rsid w:val="00560CFF"/>
    <w:rsid w:val="00561BF2"/>
    <w:rsid w:val="00561EA1"/>
    <w:rsid w:val="005625D9"/>
    <w:rsid w:val="00562799"/>
    <w:rsid w:val="00563222"/>
    <w:rsid w:val="0056327F"/>
    <w:rsid w:val="00564092"/>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36F"/>
    <w:rsid w:val="00572541"/>
    <w:rsid w:val="00572588"/>
    <w:rsid w:val="00572662"/>
    <w:rsid w:val="00572AEB"/>
    <w:rsid w:val="00572D1E"/>
    <w:rsid w:val="00572DAF"/>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793"/>
    <w:rsid w:val="00580A2A"/>
    <w:rsid w:val="00580BC1"/>
    <w:rsid w:val="005811A0"/>
    <w:rsid w:val="0058121A"/>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82D"/>
    <w:rsid w:val="005A5BD8"/>
    <w:rsid w:val="005A601B"/>
    <w:rsid w:val="005A6276"/>
    <w:rsid w:val="005A692A"/>
    <w:rsid w:val="005A6AB8"/>
    <w:rsid w:val="005A6D46"/>
    <w:rsid w:val="005A70DD"/>
    <w:rsid w:val="005A7FAB"/>
    <w:rsid w:val="005B0246"/>
    <w:rsid w:val="005B0279"/>
    <w:rsid w:val="005B0F09"/>
    <w:rsid w:val="005B11C2"/>
    <w:rsid w:val="005B12CA"/>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692"/>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28BD"/>
    <w:rsid w:val="005D31FF"/>
    <w:rsid w:val="005D3392"/>
    <w:rsid w:val="005D38E0"/>
    <w:rsid w:val="005D39D5"/>
    <w:rsid w:val="005D3CA2"/>
    <w:rsid w:val="005D3D4D"/>
    <w:rsid w:val="005D3F32"/>
    <w:rsid w:val="005D436C"/>
    <w:rsid w:val="005D4DD7"/>
    <w:rsid w:val="005D4E3E"/>
    <w:rsid w:val="005D4FFF"/>
    <w:rsid w:val="005D553B"/>
    <w:rsid w:val="005D571F"/>
    <w:rsid w:val="005D5AF1"/>
    <w:rsid w:val="005D5E92"/>
    <w:rsid w:val="005D67F7"/>
    <w:rsid w:val="005D6B42"/>
    <w:rsid w:val="005D772A"/>
    <w:rsid w:val="005D7B18"/>
    <w:rsid w:val="005D7CB4"/>
    <w:rsid w:val="005D7D7E"/>
    <w:rsid w:val="005E0B59"/>
    <w:rsid w:val="005E0BAE"/>
    <w:rsid w:val="005E0E08"/>
    <w:rsid w:val="005E0F36"/>
    <w:rsid w:val="005E102F"/>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795"/>
    <w:rsid w:val="005E78B2"/>
    <w:rsid w:val="005E7F14"/>
    <w:rsid w:val="005E7F97"/>
    <w:rsid w:val="005F0154"/>
    <w:rsid w:val="005F0176"/>
    <w:rsid w:val="005F01A8"/>
    <w:rsid w:val="005F021D"/>
    <w:rsid w:val="005F0A3A"/>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7B"/>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9AB"/>
    <w:rsid w:val="00611A75"/>
    <w:rsid w:val="00611F9F"/>
    <w:rsid w:val="00612262"/>
    <w:rsid w:val="006123C6"/>
    <w:rsid w:val="006124DE"/>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4DE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0E9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9F1"/>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1FCD"/>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823"/>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81F"/>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0A31"/>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5CEF"/>
    <w:rsid w:val="0066630C"/>
    <w:rsid w:val="006665F3"/>
    <w:rsid w:val="00666BBE"/>
    <w:rsid w:val="00666C5A"/>
    <w:rsid w:val="00667271"/>
    <w:rsid w:val="00667405"/>
    <w:rsid w:val="00667543"/>
    <w:rsid w:val="00667874"/>
    <w:rsid w:val="0066790C"/>
    <w:rsid w:val="00667BBD"/>
    <w:rsid w:val="00667D9C"/>
    <w:rsid w:val="00667E6E"/>
    <w:rsid w:val="00670A51"/>
    <w:rsid w:val="00670A57"/>
    <w:rsid w:val="00670AAE"/>
    <w:rsid w:val="00670BAB"/>
    <w:rsid w:val="00670E07"/>
    <w:rsid w:val="00670F01"/>
    <w:rsid w:val="00671149"/>
    <w:rsid w:val="00671615"/>
    <w:rsid w:val="0067161D"/>
    <w:rsid w:val="00671741"/>
    <w:rsid w:val="00671766"/>
    <w:rsid w:val="0067228D"/>
    <w:rsid w:val="00672375"/>
    <w:rsid w:val="00672914"/>
    <w:rsid w:val="00672C1A"/>
    <w:rsid w:val="00672E05"/>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77EBC"/>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3A8"/>
    <w:rsid w:val="006943C1"/>
    <w:rsid w:val="00694991"/>
    <w:rsid w:val="00694ACB"/>
    <w:rsid w:val="00694C4F"/>
    <w:rsid w:val="00695043"/>
    <w:rsid w:val="00695100"/>
    <w:rsid w:val="006957B2"/>
    <w:rsid w:val="0069587D"/>
    <w:rsid w:val="00696566"/>
    <w:rsid w:val="006966BA"/>
    <w:rsid w:val="006966F9"/>
    <w:rsid w:val="0069722D"/>
    <w:rsid w:val="00697972"/>
    <w:rsid w:val="006A0052"/>
    <w:rsid w:val="006A0A9E"/>
    <w:rsid w:val="006A1517"/>
    <w:rsid w:val="006A160B"/>
    <w:rsid w:val="006A1F1C"/>
    <w:rsid w:val="006A242B"/>
    <w:rsid w:val="006A2486"/>
    <w:rsid w:val="006A2DDE"/>
    <w:rsid w:val="006A30FE"/>
    <w:rsid w:val="006A3263"/>
    <w:rsid w:val="006A3836"/>
    <w:rsid w:val="006A3B52"/>
    <w:rsid w:val="006A3CD5"/>
    <w:rsid w:val="006A3DD3"/>
    <w:rsid w:val="006A420C"/>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07A"/>
    <w:rsid w:val="006B02A2"/>
    <w:rsid w:val="006B0368"/>
    <w:rsid w:val="006B04B7"/>
    <w:rsid w:val="006B0B98"/>
    <w:rsid w:val="006B0E6D"/>
    <w:rsid w:val="006B0F6E"/>
    <w:rsid w:val="006B137E"/>
    <w:rsid w:val="006B1526"/>
    <w:rsid w:val="006B1B2F"/>
    <w:rsid w:val="006B1D7B"/>
    <w:rsid w:val="006B1E80"/>
    <w:rsid w:val="006B20CD"/>
    <w:rsid w:val="006B229C"/>
    <w:rsid w:val="006B24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6F44"/>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0B1"/>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54CD"/>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0E9"/>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62D"/>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E30"/>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6E9F"/>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2129"/>
    <w:rsid w:val="00722197"/>
    <w:rsid w:val="00722829"/>
    <w:rsid w:val="00722981"/>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339"/>
    <w:rsid w:val="0074250D"/>
    <w:rsid w:val="007425B6"/>
    <w:rsid w:val="00742CB1"/>
    <w:rsid w:val="00743F52"/>
    <w:rsid w:val="007445E2"/>
    <w:rsid w:val="00744927"/>
    <w:rsid w:val="00744CC3"/>
    <w:rsid w:val="00744FBE"/>
    <w:rsid w:val="0074509C"/>
    <w:rsid w:val="00745496"/>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B5"/>
    <w:rsid w:val="00762CD5"/>
    <w:rsid w:val="0076345B"/>
    <w:rsid w:val="00763AE2"/>
    <w:rsid w:val="00763B2D"/>
    <w:rsid w:val="00763B65"/>
    <w:rsid w:val="00763FA6"/>
    <w:rsid w:val="00764173"/>
    <w:rsid w:val="007641D6"/>
    <w:rsid w:val="0076467D"/>
    <w:rsid w:val="00764A03"/>
    <w:rsid w:val="00764B33"/>
    <w:rsid w:val="00764B4C"/>
    <w:rsid w:val="00764CB3"/>
    <w:rsid w:val="00764FA9"/>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DE2"/>
    <w:rsid w:val="00774EC8"/>
    <w:rsid w:val="00775064"/>
    <w:rsid w:val="00775116"/>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B1E"/>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0D2"/>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AAF"/>
    <w:rsid w:val="007C4DE0"/>
    <w:rsid w:val="007C51E8"/>
    <w:rsid w:val="007C544B"/>
    <w:rsid w:val="007C5936"/>
    <w:rsid w:val="007C5EB9"/>
    <w:rsid w:val="007C6C07"/>
    <w:rsid w:val="007C7046"/>
    <w:rsid w:val="007C7449"/>
    <w:rsid w:val="007C7994"/>
    <w:rsid w:val="007C7EA5"/>
    <w:rsid w:val="007D0BF0"/>
    <w:rsid w:val="007D0EFC"/>
    <w:rsid w:val="007D1014"/>
    <w:rsid w:val="007D1129"/>
    <w:rsid w:val="007D1A95"/>
    <w:rsid w:val="007D2009"/>
    <w:rsid w:val="007D2192"/>
    <w:rsid w:val="007D23F2"/>
    <w:rsid w:val="007D245E"/>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A7A"/>
    <w:rsid w:val="007E5C4A"/>
    <w:rsid w:val="007E5D8E"/>
    <w:rsid w:val="007E608B"/>
    <w:rsid w:val="007E6699"/>
    <w:rsid w:val="007E66BF"/>
    <w:rsid w:val="007E6915"/>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CAA"/>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391F"/>
    <w:rsid w:val="0080426D"/>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6E6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9CA"/>
    <w:rsid w:val="00822C41"/>
    <w:rsid w:val="00822D80"/>
    <w:rsid w:val="008231B6"/>
    <w:rsid w:val="00823323"/>
    <w:rsid w:val="00823410"/>
    <w:rsid w:val="008234EF"/>
    <w:rsid w:val="0082366E"/>
    <w:rsid w:val="008237BC"/>
    <w:rsid w:val="00823AB5"/>
    <w:rsid w:val="008249AD"/>
    <w:rsid w:val="00824AEF"/>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814"/>
    <w:rsid w:val="00840118"/>
    <w:rsid w:val="008405B5"/>
    <w:rsid w:val="0084093F"/>
    <w:rsid w:val="0084098A"/>
    <w:rsid w:val="00840DB0"/>
    <w:rsid w:val="00840EDE"/>
    <w:rsid w:val="008418A5"/>
    <w:rsid w:val="00841BEC"/>
    <w:rsid w:val="008423BA"/>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BE2"/>
    <w:rsid w:val="00850C3B"/>
    <w:rsid w:val="00851067"/>
    <w:rsid w:val="008510D0"/>
    <w:rsid w:val="0085144A"/>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33"/>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956"/>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7E0"/>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4B79"/>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D90"/>
    <w:rsid w:val="008C1DEE"/>
    <w:rsid w:val="008C1E24"/>
    <w:rsid w:val="008C21A6"/>
    <w:rsid w:val="008C2315"/>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45CD"/>
    <w:rsid w:val="008D4B81"/>
    <w:rsid w:val="008D5081"/>
    <w:rsid w:val="008D55F1"/>
    <w:rsid w:val="008D5856"/>
    <w:rsid w:val="008D5CD7"/>
    <w:rsid w:val="008D5EEB"/>
    <w:rsid w:val="008D6381"/>
    <w:rsid w:val="008D6AD2"/>
    <w:rsid w:val="008D6FA8"/>
    <w:rsid w:val="008D718E"/>
    <w:rsid w:val="008D7335"/>
    <w:rsid w:val="008D73E9"/>
    <w:rsid w:val="008D765F"/>
    <w:rsid w:val="008D76EC"/>
    <w:rsid w:val="008D7C09"/>
    <w:rsid w:val="008D7E67"/>
    <w:rsid w:val="008E03D1"/>
    <w:rsid w:val="008E03F8"/>
    <w:rsid w:val="008E09C5"/>
    <w:rsid w:val="008E0AA7"/>
    <w:rsid w:val="008E0D0F"/>
    <w:rsid w:val="008E0D84"/>
    <w:rsid w:val="008E1603"/>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4EB"/>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7C8"/>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0EB"/>
    <w:rsid w:val="0090167B"/>
    <w:rsid w:val="00901C47"/>
    <w:rsid w:val="00901EF2"/>
    <w:rsid w:val="009024AA"/>
    <w:rsid w:val="00902DEC"/>
    <w:rsid w:val="00902EBF"/>
    <w:rsid w:val="00903079"/>
    <w:rsid w:val="009031F9"/>
    <w:rsid w:val="0090342E"/>
    <w:rsid w:val="00903598"/>
    <w:rsid w:val="009036ED"/>
    <w:rsid w:val="00903D3A"/>
    <w:rsid w:val="009044B9"/>
    <w:rsid w:val="009047B1"/>
    <w:rsid w:val="00904A49"/>
    <w:rsid w:val="00904C59"/>
    <w:rsid w:val="00904C86"/>
    <w:rsid w:val="00904D5F"/>
    <w:rsid w:val="009051EF"/>
    <w:rsid w:val="009052FF"/>
    <w:rsid w:val="009054CA"/>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891"/>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733"/>
    <w:rsid w:val="0093292B"/>
    <w:rsid w:val="00932B35"/>
    <w:rsid w:val="0093375E"/>
    <w:rsid w:val="009337EC"/>
    <w:rsid w:val="00933811"/>
    <w:rsid w:val="0093383B"/>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1C7"/>
    <w:rsid w:val="00961487"/>
    <w:rsid w:val="0096189D"/>
    <w:rsid w:val="00961A78"/>
    <w:rsid w:val="00961BA7"/>
    <w:rsid w:val="00961F01"/>
    <w:rsid w:val="00962162"/>
    <w:rsid w:val="009623BC"/>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6F5"/>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A1C"/>
    <w:rsid w:val="00982D11"/>
    <w:rsid w:val="00983132"/>
    <w:rsid w:val="00983314"/>
    <w:rsid w:val="009833E5"/>
    <w:rsid w:val="009838DE"/>
    <w:rsid w:val="00983DF2"/>
    <w:rsid w:val="0098433A"/>
    <w:rsid w:val="00984411"/>
    <w:rsid w:val="009844B4"/>
    <w:rsid w:val="0098463A"/>
    <w:rsid w:val="00984692"/>
    <w:rsid w:val="00984AAE"/>
    <w:rsid w:val="00984F39"/>
    <w:rsid w:val="00985675"/>
    <w:rsid w:val="00985785"/>
    <w:rsid w:val="00985939"/>
    <w:rsid w:val="00985B2D"/>
    <w:rsid w:val="0098637F"/>
    <w:rsid w:val="009863FE"/>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571"/>
    <w:rsid w:val="009C16A7"/>
    <w:rsid w:val="009C2176"/>
    <w:rsid w:val="009C2569"/>
    <w:rsid w:val="009C2729"/>
    <w:rsid w:val="009C2B3E"/>
    <w:rsid w:val="009C2D7D"/>
    <w:rsid w:val="009C2EA2"/>
    <w:rsid w:val="009C3721"/>
    <w:rsid w:val="009C3A02"/>
    <w:rsid w:val="009C3C27"/>
    <w:rsid w:val="009C4141"/>
    <w:rsid w:val="009C4315"/>
    <w:rsid w:val="009C4B55"/>
    <w:rsid w:val="009C4B6F"/>
    <w:rsid w:val="009C5310"/>
    <w:rsid w:val="009C5311"/>
    <w:rsid w:val="009C5349"/>
    <w:rsid w:val="009C5420"/>
    <w:rsid w:val="009C544C"/>
    <w:rsid w:val="009C5655"/>
    <w:rsid w:val="009C5A92"/>
    <w:rsid w:val="009C5FCC"/>
    <w:rsid w:val="009C61A2"/>
    <w:rsid w:val="009C6202"/>
    <w:rsid w:val="009C6241"/>
    <w:rsid w:val="009C6DF6"/>
    <w:rsid w:val="009C6E92"/>
    <w:rsid w:val="009C6EA5"/>
    <w:rsid w:val="009D04F7"/>
    <w:rsid w:val="009D0B96"/>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35B"/>
    <w:rsid w:val="009D56C3"/>
    <w:rsid w:val="009D59A2"/>
    <w:rsid w:val="009D5A9C"/>
    <w:rsid w:val="009D5B0B"/>
    <w:rsid w:val="009D630B"/>
    <w:rsid w:val="009D6CAA"/>
    <w:rsid w:val="009D6CF6"/>
    <w:rsid w:val="009D6E38"/>
    <w:rsid w:val="009D6E69"/>
    <w:rsid w:val="009D727E"/>
    <w:rsid w:val="009D76C2"/>
    <w:rsid w:val="009D7AEC"/>
    <w:rsid w:val="009D7C7B"/>
    <w:rsid w:val="009D7E97"/>
    <w:rsid w:val="009D7F6E"/>
    <w:rsid w:val="009E02DC"/>
    <w:rsid w:val="009E043F"/>
    <w:rsid w:val="009E0710"/>
    <w:rsid w:val="009E0B5F"/>
    <w:rsid w:val="009E2040"/>
    <w:rsid w:val="009E256E"/>
    <w:rsid w:val="009E29FD"/>
    <w:rsid w:val="009E2E1B"/>
    <w:rsid w:val="009E3746"/>
    <w:rsid w:val="009E38B4"/>
    <w:rsid w:val="009E3F51"/>
    <w:rsid w:val="009E3F9C"/>
    <w:rsid w:val="009E4143"/>
    <w:rsid w:val="009E49AE"/>
    <w:rsid w:val="009E4DC7"/>
    <w:rsid w:val="009E4E1A"/>
    <w:rsid w:val="009E52ED"/>
    <w:rsid w:val="009E52F1"/>
    <w:rsid w:val="009E5343"/>
    <w:rsid w:val="009E594B"/>
    <w:rsid w:val="009E5BC5"/>
    <w:rsid w:val="009E5C84"/>
    <w:rsid w:val="009E60A9"/>
    <w:rsid w:val="009E660A"/>
    <w:rsid w:val="009E6B64"/>
    <w:rsid w:val="009E72E5"/>
    <w:rsid w:val="009E7368"/>
    <w:rsid w:val="009E7AA9"/>
    <w:rsid w:val="009E7E57"/>
    <w:rsid w:val="009F0A36"/>
    <w:rsid w:val="009F1AAF"/>
    <w:rsid w:val="009F1E4D"/>
    <w:rsid w:val="009F27A3"/>
    <w:rsid w:val="009F28A4"/>
    <w:rsid w:val="009F346F"/>
    <w:rsid w:val="009F3D0B"/>
    <w:rsid w:val="009F417D"/>
    <w:rsid w:val="009F41F2"/>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828"/>
    <w:rsid w:val="00A12979"/>
    <w:rsid w:val="00A130A5"/>
    <w:rsid w:val="00A131A9"/>
    <w:rsid w:val="00A13618"/>
    <w:rsid w:val="00A137F5"/>
    <w:rsid w:val="00A13BBF"/>
    <w:rsid w:val="00A141C5"/>
    <w:rsid w:val="00A14304"/>
    <w:rsid w:val="00A1453D"/>
    <w:rsid w:val="00A1496B"/>
    <w:rsid w:val="00A1496E"/>
    <w:rsid w:val="00A14F84"/>
    <w:rsid w:val="00A159E5"/>
    <w:rsid w:val="00A16059"/>
    <w:rsid w:val="00A16116"/>
    <w:rsid w:val="00A167C5"/>
    <w:rsid w:val="00A16A4B"/>
    <w:rsid w:val="00A16AFE"/>
    <w:rsid w:val="00A16D6D"/>
    <w:rsid w:val="00A16F66"/>
    <w:rsid w:val="00A172FF"/>
    <w:rsid w:val="00A1740A"/>
    <w:rsid w:val="00A17759"/>
    <w:rsid w:val="00A17806"/>
    <w:rsid w:val="00A17C75"/>
    <w:rsid w:val="00A17E43"/>
    <w:rsid w:val="00A201F8"/>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0CE"/>
    <w:rsid w:val="00A27381"/>
    <w:rsid w:val="00A274E2"/>
    <w:rsid w:val="00A276FD"/>
    <w:rsid w:val="00A279B0"/>
    <w:rsid w:val="00A27C1C"/>
    <w:rsid w:val="00A30068"/>
    <w:rsid w:val="00A30269"/>
    <w:rsid w:val="00A30E0C"/>
    <w:rsid w:val="00A30F6A"/>
    <w:rsid w:val="00A31289"/>
    <w:rsid w:val="00A31C04"/>
    <w:rsid w:val="00A32369"/>
    <w:rsid w:val="00A32A0F"/>
    <w:rsid w:val="00A32AEA"/>
    <w:rsid w:val="00A32B22"/>
    <w:rsid w:val="00A32F32"/>
    <w:rsid w:val="00A32F47"/>
    <w:rsid w:val="00A33B9A"/>
    <w:rsid w:val="00A33E80"/>
    <w:rsid w:val="00A33EB4"/>
    <w:rsid w:val="00A33EFE"/>
    <w:rsid w:val="00A3492E"/>
    <w:rsid w:val="00A34D2D"/>
    <w:rsid w:val="00A36075"/>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145"/>
    <w:rsid w:val="00A452F5"/>
    <w:rsid w:val="00A454F8"/>
    <w:rsid w:val="00A457FF"/>
    <w:rsid w:val="00A45BA0"/>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761"/>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47B3"/>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B92"/>
    <w:rsid w:val="00A82C38"/>
    <w:rsid w:val="00A83010"/>
    <w:rsid w:val="00A83BF5"/>
    <w:rsid w:val="00A84671"/>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A04"/>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11C5"/>
    <w:rsid w:val="00AA1550"/>
    <w:rsid w:val="00AA17E2"/>
    <w:rsid w:val="00AA1D1C"/>
    <w:rsid w:val="00AA1DFD"/>
    <w:rsid w:val="00AA21B7"/>
    <w:rsid w:val="00AA325E"/>
    <w:rsid w:val="00AA33F5"/>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0AB"/>
    <w:rsid w:val="00AB740A"/>
    <w:rsid w:val="00AB78AD"/>
    <w:rsid w:val="00AB7C8D"/>
    <w:rsid w:val="00AC014A"/>
    <w:rsid w:val="00AC07D3"/>
    <w:rsid w:val="00AC0990"/>
    <w:rsid w:val="00AC0D58"/>
    <w:rsid w:val="00AC107B"/>
    <w:rsid w:val="00AC10D7"/>
    <w:rsid w:val="00AC1D10"/>
    <w:rsid w:val="00AC1DA5"/>
    <w:rsid w:val="00AC1EA1"/>
    <w:rsid w:val="00AC1F13"/>
    <w:rsid w:val="00AC1FE5"/>
    <w:rsid w:val="00AC216B"/>
    <w:rsid w:val="00AC26B1"/>
    <w:rsid w:val="00AC29E4"/>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F"/>
    <w:rsid w:val="00AD2B03"/>
    <w:rsid w:val="00AD2E07"/>
    <w:rsid w:val="00AD3583"/>
    <w:rsid w:val="00AD38A9"/>
    <w:rsid w:val="00AD4071"/>
    <w:rsid w:val="00AD41A0"/>
    <w:rsid w:val="00AD44EA"/>
    <w:rsid w:val="00AD44ED"/>
    <w:rsid w:val="00AD4782"/>
    <w:rsid w:val="00AD4899"/>
    <w:rsid w:val="00AD4AAC"/>
    <w:rsid w:val="00AD5236"/>
    <w:rsid w:val="00AD527D"/>
    <w:rsid w:val="00AD534A"/>
    <w:rsid w:val="00AD54E0"/>
    <w:rsid w:val="00AD5877"/>
    <w:rsid w:val="00AD5881"/>
    <w:rsid w:val="00AD5886"/>
    <w:rsid w:val="00AD5F77"/>
    <w:rsid w:val="00AD5FD2"/>
    <w:rsid w:val="00AD6550"/>
    <w:rsid w:val="00AD758E"/>
    <w:rsid w:val="00AD7AB5"/>
    <w:rsid w:val="00AE0281"/>
    <w:rsid w:val="00AE07F0"/>
    <w:rsid w:val="00AE08B7"/>
    <w:rsid w:val="00AE0A2B"/>
    <w:rsid w:val="00AE0DBA"/>
    <w:rsid w:val="00AE0F88"/>
    <w:rsid w:val="00AE0FB1"/>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AED"/>
    <w:rsid w:val="00AE4DB5"/>
    <w:rsid w:val="00AE503A"/>
    <w:rsid w:val="00AE51A7"/>
    <w:rsid w:val="00AE5789"/>
    <w:rsid w:val="00AE5926"/>
    <w:rsid w:val="00AE5F19"/>
    <w:rsid w:val="00AE5F69"/>
    <w:rsid w:val="00AE60A2"/>
    <w:rsid w:val="00AE6197"/>
    <w:rsid w:val="00AE621F"/>
    <w:rsid w:val="00AE65DA"/>
    <w:rsid w:val="00AE670A"/>
    <w:rsid w:val="00AE68E2"/>
    <w:rsid w:val="00AE705D"/>
    <w:rsid w:val="00AE781C"/>
    <w:rsid w:val="00AE7F18"/>
    <w:rsid w:val="00AF0157"/>
    <w:rsid w:val="00AF0F20"/>
    <w:rsid w:val="00AF17AC"/>
    <w:rsid w:val="00AF1CE7"/>
    <w:rsid w:val="00AF222A"/>
    <w:rsid w:val="00AF2375"/>
    <w:rsid w:val="00AF272B"/>
    <w:rsid w:val="00AF283B"/>
    <w:rsid w:val="00AF2854"/>
    <w:rsid w:val="00AF2B70"/>
    <w:rsid w:val="00AF2EC7"/>
    <w:rsid w:val="00AF3AC0"/>
    <w:rsid w:val="00AF4345"/>
    <w:rsid w:val="00AF4CED"/>
    <w:rsid w:val="00AF4F4A"/>
    <w:rsid w:val="00AF4FA9"/>
    <w:rsid w:val="00AF5342"/>
    <w:rsid w:val="00AF55C2"/>
    <w:rsid w:val="00AF5626"/>
    <w:rsid w:val="00AF5885"/>
    <w:rsid w:val="00AF60E9"/>
    <w:rsid w:val="00AF6105"/>
    <w:rsid w:val="00AF66AB"/>
    <w:rsid w:val="00AF6D67"/>
    <w:rsid w:val="00AF70A2"/>
    <w:rsid w:val="00AF7301"/>
    <w:rsid w:val="00AF759E"/>
    <w:rsid w:val="00AF7D79"/>
    <w:rsid w:val="00B00598"/>
    <w:rsid w:val="00B00C24"/>
    <w:rsid w:val="00B00F38"/>
    <w:rsid w:val="00B00F93"/>
    <w:rsid w:val="00B011FE"/>
    <w:rsid w:val="00B017AA"/>
    <w:rsid w:val="00B01AE5"/>
    <w:rsid w:val="00B01BBE"/>
    <w:rsid w:val="00B02185"/>
    <w:rsid w:val="00B022A6"/>
    <w:rsid w:val="00B0316A"/>
    <w:rsid w:val="00B03182"/>
    <w:rsid w:val="00B033D0"/>
    <w:rsid w:val="00B03F92"/>
    <w:rsid w:val="00B043F7"/>
    <w:rsid w:val="00B04948"/>
    <w:rsid w:val="00B04EE5"/>
    <w:rsid w:val="00B05135"/>
    <w:rsid w:val="00B055D8"/>
    <w:rsid w:val="00B05B21"/>
    <w:rsid w:val="00B05F25"/>
    <w:rsid w:val="00B065B8"/>
    <w:rsid w:val="00B066CC"/>
    <w:rsid w:val="00B06CC0"/>
    <w:rsid w:val="00B06CD6"/>
    <w:rsid w:val="00B06DB5"/>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74B"/>
    <w:rsid w:val="00B20AE3"/>
    <w:rsid w:val="00B21057"/>
    <w:rsid w:val="00B213BE"/>
    <w:rsid w:val="00B21557"/>
    <w:rsid w:val="00B216BC"/>
    <w:rsid w:val="00B218DE"/>
    <w:rsid w:val="00B2202B"/>
    <w:rsid w:val="00B22E21"/>
    <w:rsid w:val="00B23422"/>
    <w:rsid w:val="00B23441"/>
    <w:rsid w:val="00B234E8"/>
    <w:rsid w:val="00B23A71"/>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3E"/>
    <w:rsid w:val="00B27DA5"/>
    <w:rsid w:val="00B30028"/>
    <w:rsid w:val="00B3035C"/>
    <w:rsid w:val="00B30D8E"/>
    <w:rsid w:val="00B310DF"/>
    <w:rsid w:val="00B3170C"/>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4F94"/>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301A"/>
    <w:rsid w:val="00B53998"/>
    <w:rsid w:val="00B53D44"/>
    <w:rsid w:val="00B540E3"/>
    <w:rsid w:val="00B54390"/>
    <w:rsid w:val="00B54DA7"/>
    <w:rsid w:val="00B550BF"/>
    <w:rsid w:val="00B552BE"/>
    <w:rsid w:val="00B556BB"/>
    <w:rsid w:val="00B556DD"/>
    <w:rsid w:val="00B55798"/>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94F"/>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4B"/>
    <w:rsid w:val="00B77AD0"/>
    <w:rsid w:val="00B77BD2"/>
    <w:rsid w:val="00B80A2A"/>
    <w:rsid w:val="00B814CB"/>
    <w:rsid w:val="00B81B6A"/>
    <w:rsid w:val="00B8200F"/>
    <w:rsid w:val="00B820F4"/>
    <w:rsid w:val="00B826D1"/>
    <w:rsid w:val="00B82C2F"/>
    <w:rsid w:val="00B8305B"/>
    <w:rsid w:val="00B831C6"/>
    <w:rsid w:val="00B835E0"/>
    <w:rsid w:val="00B8382C"/>
    <w:rsid w:val="00B8396D"/>
    <w:rsid w:val="00B840E7"/>
    <w:rsid w:val="00B84BB0"/>
    <w:rsid w:val="00B85839"/>
    <w:rsid w:val="00B85B1B"/>
    <w:rsid w:val="00B85BED"/>
    <w:rsid w:val="00B87186"/>
    <w:rsid w:val="00B90331"/>
    <w:rsid w:val="00B903ED"/>
    <w:rsid w:val="00B90A80"/>
    <w:rsid w:val="00B90B2D"/>
    <w:rsid w:val="00B91245"/>
    <w:rsid w:val="00B91439"/>
    <w:rsid w:val="00B9165A"/>
    <w:rsid w:val="00B91919"/>
    <w:rsid w:val="00B935A1"/>
    <w:rsid w:val="00B9388E"/>
    <w:rsid w:val="00B93F66"/>
    <w:rsid w:val="00B94733"/>
    <w:rsid w:val="00B948A6"/>
    <w:rsid w:val="00B9492C"/>
    <w:rsid w:val="00B94CAB"/>
    <w:rsid w:val="00B955B7"/>
    <w:rsid w:val="00B95778"/>
    <w:rsid w:val="00B95B4F"/>
    <w:rsid w:val="00B95DAD"/>
    <w:rsid w:val="00B96C0C"/>
    <w:rsid w:val="00B9712A"/>
    <w:rsid w:val="00B97173"/>
    <w:rsid w:val="00B9734D"/>
    <w:rsid w:val="00B97732"/>
    <w:rsid w:val="00B97E07"/>
    <w:rsid w:val="00BA015F"/>
    <w:rsid w:val="00BA01EF"/>
    <w:rsid w:val="00BA0E10"/>
    <w:rsid w:val="00BA0EE5"/>
    <w:rsid w:val="00BA156C"/>
    <w:rsid w:val="00BA27F4"/>
    <w:rsid w:val="00BA2940"/>
    <w:rsid w:val="00BA2AEA"/>
    <w:rsid w:val="00BA2C00"/>
    <w:rsid w:val="00BA2E40"/>
    <w:rsid w:val="00BA3479"/>
    <w:rsid w:val="00BA3A5E"/>
    <w:rsid w:val="00BA3CB7"/>
    <w:rsid w:val="00BA41DE"/>
    <w:rsid w:val="00BA46E6"/>
    <w:rsid w:val="00BA4E91"/>
    <w:rsid w:val="00BA4F29"/>
    <w:rsid w:val="00BA506D"/>
    <w:rsid w:val="00BA526C"/>
    <w:rsid w:val="00BA556C"/>
    <w:rsid w:val="00BA5E1A"/>
    <w:rsid w:val="00BA64A7"/>
    <w:rsid w:val="00BA6558"/>
    <w:rsid w:val="00BA78B1"/>
    <w:rsid w:val="00BA7F1A"/>
    <w:rsid w:val="00BB0986"/>
    <w:rsid w:val="00BB0DC0"/>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7BE"/>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653"/>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5E"/>
    <w:rsid w:val="00BE6D8C"/>
    <w:rsid w:val="00BE7076"/>
    <w:rsid w:val="00BE7396"/>
    <w:rsid w:val="00BE787D"/>
    <w:rsid w:val="00BE79FD"/>
    <w:rsid w:val="00BE7A0C"/>
    <w:rsid w:val="00BF0191"/>
    <w:rsid w:val="00BF13EC"/>
    <w:rsid w:val="00BF188A"/>
    <w:rsid w:val="00BF19C5"/>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06"/>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056"/>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96"/>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779"/>
    <w:rsid w:val="00C419AD"/>
    <w:rsid w:val="00C41B5F"/>
    <w:rsid w:val="00C41D3E"/>
    <w:rsid w:val="00C41F55"/>
    <w:rsid w:val="00C41FFA"/>
    <w:rsid w:val="00C42164"/>
    <w:rsid w:val="00C42767"/>
    <w:rsid w:val="00C42BBC"/>
    <w:rsid w:val="00C42EF2"/>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6C2B"/>
    <w:rsid w:val="00C6753F"/>
    <w:rsid w:val="00C678C4"/>
    <w:rsid w:val="00C67B32"/>
    <w:rsid w:val="00C709BD"/>
    <w:rsid w:val="00C70CAA"/>
    <w:rsid w:val="00C71215"/>
    <w:rsid w:val="00C713C5"/>
    <w:rsid w:val="00C72011"/>
    <w:rsid w:val="00C7216B"/>
    <w:rsid w:val="00C727BE"/>
    <w:rsid w:val="00C732A9"/>
    <w:rsid w:val="00C73448"/>
    <w:rsid w:val="00C7393F"/>
    <w:rsid w:val="00C73AFC"/>
    <w:rsid w:val="00C73C8F"/>
    <w:rsid w:val="00C73E2E"/>
    <w:rsid w:val="00C74546"/>
    <w:rsid w:val="00C746DB"/>
    <w:rsid w:val="00C747AC"/>
    <w:rsid w:val="00C748E2"/>
    <w:rsid w:val="00C751C1"/>
    <w:rsid w:val="00C76146"/>
    <w:rsid w:val="00C76262"/>
    <w:rsid w:val="00C76313"/>
    <w:rsid w:val="00C767BA"/>
    <w:rsid w:val="00C7686D"/>
    <w:rsid w:val="00C76B20"/>
    <w:rsid w:val="00C76E3C"/>
    <w:rsid w:val="00C773B6"/>
    <w:rsid w:val="00C7776C"/>
    <w:rsid w:val="00C77882"/>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26B"/>
    <w:rsid w:val="00C85657"/>
    <w:rsid w:val="00C85786"/>
    <w:rsid w:val="00C85B0A"/>
    <w:rsid w:val="00C85F5A"/>
    <w:rsid w:val="00C860C6"/>
    <w:rsid w:val="00C86456"/>
    <w:rsid w:val="00C86530"/>
    <w:rsid w:val="00C8684B"/>
    <w:rsid w:val="00C869C4"/>
    <w:rsid w:val="00C86F6B"/>
    <w:rsid w:val="00C87A1C"/>
    <w:rsid w:val="00C87B3F"/>
    <w:rsid w:val="00C87E49"/>
    <w:rsid w:val="00C87F1A"/>
    <w:rsid w:val="00C9128B"/>
    <w:rsid w:val="00C9131A"/>
    <w:rsid w:val="00C919BE"/>
    <w:rsid w:val="00C91C88"/>
    <w:rsid w:val="00C929BE"/>
    <w:rsid w:val="00C92BBB"/>
    <w:rsid w:val="00C936CD"/>
    <w:rsid w:val="00C939C3"/>
    <w:rsid w:val="00C93D33"/>
    <w:rsid w:val="00C94183"/>
    <w:rsid w:val="00C941FB"/>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835"/>
    <w:rsid w:val="00CA0B2E"/>
    <w:rsid w:val="00CA0D60"/>
    <w:rsid w:val="00CA108C"/>
    <w:rsid w:val="00CA1636"/>
    <w:rsid w:val="00CA18A7"/>
    <w:rsid w:val="00CA18CA"/>
    <w:rsid w:val="00CA1AF1"/>
    <w:rsid w:val="00CA2557"/>
    <w:rsid w:val="00CA2B55"/>
    <w:rsid w:val="00CA2B59"/>
    <w:rsid w:val="00CA3269"/>
    <w:rsid w:val="00CA346E"/>
    <w:rsid w:val="00CA3820"/>
    <w:rsid w:val="00CA3850"/>
    <w:rsid w:val="00CA4114"/>
    <w:rsid w:val="00CA4348"/>
    <w:rsid w:val="00CA5413"/>
    <w:rsid w:val="00CA5674"/>
    <w:rsid w:val="00CA572C"/>
    <w:rsid w:val="00CA5BDA"/>
    <w:rsid w:val="00CA5C1A"/>
    <w:rsid w:val="00CA5CD9"/>
    <w:rsid w:val="00CA5CDF"/>
    <w:rsid w:val="00CA633F"/>
    <w:rsid w:val="00CA641E"/>
    <w:rsid w:val="00CA6690"/>
    <w:rsid w:val="00CA6B1B"/>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78A"/>
    <w:rsid w:val="00CB7813"/>
    <w:rsid w:val="00CB7866"/>
    <w:rsid w:val="00CB7C18"/>
    <w:rsid w:val="00CC065F"/>
    <w:rsid w:val="00CC06FA"/>
    <w:rsid w:val="00CC0815"/>
    <w:rsid w:val="00CC0D9F"/>
    <w:rsid w:val="00CC10CA"/>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6D88"/>
    <w:rsid w:val="00CC7032"/>
    <w:rsid w:val="00CC73CE"/>
    <w:rsid w:val="00CC7822"/>
    <w:rsid w:val="00CD0357"/>
    <w:rsid w:val="00CD07D8"/>
    <w:rsid w:val="00CD0B34"/>
    <w:rsid w:val="00CD0BEB"/>
    <w:rsid w:val="00CD0E6E"/>
    <w:rsid w:val="00CD0F34"/>
    <w:rsid w:val="00CD23AE"/>
    <w:rsid w:val="00CD27DF"/>
    <w:rsid w:val="00CD2A2D"/>
    <w:rsid w:val="00CD2D8A"/>
    <w:rsid w:val="00CD368F"/>
    <w:rsid w:val="00CD3BAC"/>
    <w:rsid w:val="00CD3FF2"/>
    <w:rsid w:val="00CD4389"/>
    <w:rsid w:val="00CD4420"/>
    <w:rsid w:val="00CD4A65"/>
    <w:rsid w:val="00CD531F"/>
    <w:rsid w:val="00CD5922"/>
    <w:rsid w:val="00CD5BDC"/>
    <w:rsid w:val="00CD5C35"/>
    <w:rsid w:val="00CD61FE"/>
    <w:rsid w:val="00CD6FA3"/>
    <w:rsid w:val="00CE11BC"/>
    <w:rsid w:val="00CE13DC"/>
    <w:rsid w:val="00CE185C"/>
    <w:rsid w:val="00CE1A87"/>
    <w:rsid w:val="00CE1EC8"/>
    <w:rsid w:val="00CE2184"/>
    <w:rsid w:val="00CE2413"/>
    <w:rsid w:val="00CE24F2"/>
    <w:rsid w:val="00CE27E9"/>
    <w:rsid w:val="00CE2814"/>
    <w:rsid w:val="00CE2A7D"/>
    <w:rsid w:val="00CE2E92"/>
    <w:rsid w:val="00CE3228"/>
    <w:rsid w:val="00CE3B44"/>
    <w:rsid w:val="00CE3B7F"/>
    <w:rsid w:val="00CE3FA2"/>
    <w:rsid w:val="00CE41A0"/>
    <w:rsid w:val="00CE4958"/>
    <w:rsid w:val="00CE535A"/>
    <w:rsid w:val="00CE53ED"/>
    <w:rsid w:val="00CE54BC"/>
    <w:rsid w:val="00CE557E"/>
    <w:rsid w:val="00CE5A30"/>
    <w:rsid w:val="00CE5CF5"/>
    <w:rsid w:val="00CE64F6"/>
    <w:rsid w:val="00CE65A7"/>
    <w:rsid w:val="00CE68E2"/>
    <w:rsid w:val="00CE696D"/>
    <w:rsid w:val="00CE6BF5"/>
    <w:rsid w:val="00CE6E03"/>
    <w:rsid w:val="00CE706E"/>
    <w:rsid w:val="00CE70B1"/>
    <w:rsid w:val="00CE7197"/>
    <w:rsid w:val="00CE7AE4"/>
    <w:rsid w:val="00CE7BFC"/>
    <w:rsid w:val="00CE7D7D"/>
    <w:rsid w:val="00CE7F23"/>
    <w:rsid w:val="00CF048D"/>
    <w:rsid w:val="00CF04AE"/>
    <w:rsid w:val="00CF0A4C"/>
    <w:rsid w:val="00CF1411"/>
    <w:rsid w:val="00CF150A"/>
    <w:rsid w:val="00CF1E02"/>
    <w:rsid w:val="00CF2225"/>
    <w:rsid w:val="00CF23B3"/>
    <w:rsid w:val="00CF25E7"/>
    <w:rsid w:val="00CF2D88"/>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CF7F80"/>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A09"/>
    <w:rsid w:val="00D10671"/>
    <w:rsid w:val="00D10753"/>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6FFB"/>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0D"/>
    <w:rsid w:val="00D26DB4"/>
    <w:rsid w:val="00D27181"/>
    <w:rsid w:val="00D27569"/>
    <w:rsid w:val="00D278CF"/>
    <w:rsid w:val="00D27B16"/>
    <w:rsid w:val="00D301FF"/>
    <w:rsid w:val="00D3067C"/>
    <w:rsid w:val="00D30790"/>
    <w:rsid w:val="00D30CD9"/>
    <w:rsid w:val="00D30E9B"/>
    <w:rsid w:val="00D31502"/>
    <w:rsid w:val="00D31571"/>
    <w:rsid w:val="00D316D5"/>
    <w:rsid w:val="00D31E9A"/>
    <w:rsid w:val="00D3257F"/>
    <w:rsid w:val="00D326DE"/>
    <w:rsid w:val="00D32D88"/>
    <w:rsid w:val="00D3314B"/>
    <w:rsid w:val="00D335F3"/>
    <w:rsid w:val="00D337F8"/>
    <w:rsid w:val="00D3385F"/>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0C"/>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8BF"/>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A55"/>
    <w:rsid w:val="00D77B9E"/>
    <w:rsid w:val="00D77BD0"/>
    <w:rsid w:val="00D804BC"/>
    <w:rsid w:val="00D80FC8"/>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30D"/>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84"/>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5F0"/>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B1E"/>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587"/>
    <w:rsid w:val="00DF2A16"/>
    <w:rsid w:val="00DF2E8B"/>
    <w:rsid w:val="00DF3100"/>
    <w:rsid w:val="00DF3317"/>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258"/>
    <w:rsid w:val="00E12E84"/>
    <w:rsid w:val="00E12FCF"/>
    <w:rsid w:val="00E13012"/>
    <w:rsid w:val="00E13273"/>
    <w:rsid w:val="00E13379"/>
    <w:rsid w:val="00E13708"/>
    <w:rsid w:val="00E139EE"/>
    <w:rsid w:val="00E140B5"/>
    <w:rsid w:val="00E14227"/>
    <w:rsid w:val="00E142C0"/>
    <w:rsid w:val="00E14B0C"/>
    <w:rsid w:val="00E14D83"/>
    <w:rsid w:val="00E14FA6"/>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9AD"/>
    <w:rsid w:val="00E239FF"/>
    <w:rsid w:val="00E23B67"/>
    <w:rsid w:val="00E24287"/>
    <w:rsid w:val="00E246EE"/>
    <w:rsid w:val="00E24B74"/>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0A4D"/>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857"/>
    <w:rsid w:val="00E66888"/>
    <w:rsid w:val="00E66F4C"/>
    <w:rsid w:val="00E66FE7"/>
    <w:rsid w:val="00E67457"/>
    <w:rsid w:val="00E6749A"/>
    <w:rsid w:val="00E67556"/>
    <w:rsid w:val="00E6777E"/>
    <w:rsid w:val="00E67919"/>
    <w:rsid w:val="00E67A97"/>
    <w:rsid w:val="00E701EA"/>
    <w:rsid w:val="00E7047C"/>
    <w:rsid w:val="00E70616"/>
    <w:rsid w:val="00E70DA8"/>
    <w:rsid w:val="00E711E9"/>
    <w:rsid w:val="00E7198D"/>
    <w:rsid w:val="00E71BB9"/>
    <w:rsid w:val="00E724BF"/>
    <w:rsid w:val="00E7252F"/>
    <w:rsid w:val="00E73274"/>
    <w:rsid w:val="00E73950"/>
    <w:rsid w:val="00E739AA"/>
    <w:rsid w:val="00E73BA5"/>
    <w:rsid w:val="00E73FC2"/>
    <w:rsid w:val="00E74175"/>
    <w:rsid w:val="00E74481"/>
    <w:rsid w:val="00E74517"/>
    <w:rsid w:val="00E7479E"/>
    <w:rsid w:val="00E7487B"/>
    <w:rsid w:val="00E752E4"/>
    <w:rsid w:val="00E753DE"/>
    <w:rsid w:val="00E755D7"/>
    <w:rsid w:val="00E7566D"/>
    <w:rsid w:val="00E75A52"/>
    <w:rsid w:val="00E75AB8"/>
    <w:rsid w:val="00E75B8D"/>
    <w:rsid w:val="00E76D01"/>
    <w:rsid w:val="00E76E91"/>
    <w:rsid w:val="00E77071"/>
    <w:rsid w:val="00E771F5"/>
    <w:rsid w:val="00E7740C"/>
    <w:rsid w:val="00E77493"/>
    <w:rsid w:val="00E774B4"/>
    <w:rsid w:val="00E778F5"/>
    <w:rsid w:val="00E77BC8"/>
    <w:rsid w:val="00E77CD8"/>
    <w:rsid w:val="00E8030F"/>
    <w:rsid w:val="00E80A1B"/>
    <w:rsid w:val="00E80E7C"/>
    <w:rsid w:val="00E81779"/>
    <w:rsid w:val="00E8205B"/>
    <w:rsid w:val="00E82444"/>
    <w:rsid w:val="00E82937"/>
    <w:rsid w:val="00E829A9"/>
    <w:rsid w:val="00E82F09"/>
    <w:rsid w:val="00E8341C"/>
    <w:rsid w:val="00E83623"/>
    <w:rsid w:val="00E8370C"/>
    <w:rsid w:val="00E83921"/>
    <w:rsid w:val="00E83938"/>
    <w:rsid w:val="00E83CF1"/>
    <w:rsid w:val="00E83E91"/>
    <w:rsid w:val="00E844AE"/>
    <w:rsid w:val="00E84694"/>
    <w:rsid w:val="00E84A59"/>
    <w:rsid w:val="00E84AA2"/>
    <w:rsid w:val="00E858DA"/>
    <w:rsid w:val="00E85934"/>
    <w:rsid w:val="00E85B00"/>
    <w:rsid w:val="00E85BC8"/>
    <w:rsid w:val="00E85D31"/>
    <w:rsid w:val="00E8602B"/>
    <w:rsid w:val="00E86198"/>
    <w:rsid w:val="00E8642F"/>
    <w:rsid w:val="00E867FE"/>
    <w:rsid w:val="00E869BA"/>
    <w:rsid w:val="00E86B5F"/>
    <w:rsid w:val="00E87562"/>
    <w:rsid w:val="00E877DC"/>
    <w:rsid w:val="00E87931"/>
    <w:rsid w:val="00E87D05"/>
    <w:rsid w:val="00E90071"/>
    <w:rsid w:val="00E90091"/>
    <w:rsid w:val="00E9014D"/>
    <w:rsid w:val="00E90AA5"/>
    <w:rsid w:val="00E911DB"/>
    <w:rsid w:val="00E91C4D"/>
    <w:rsid w:val="00E91F96"/>
    <w:rsid w:val="00E9243A"/>
    <w:rsid w:val="00E92E99"/>
    <w:rsid w:val="00E9308A"/>
    <w:rsid w:val="00E93BA8"/>
    <w:rsid w:val="00E943F3"/>
    <w:rsid w:val="00E95255"/>
    <w:rsid w:val="00E9552B"/>
    <w:rsid w:val="00E959F7"/>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33B1"/>
    <w:rsid w:val="00EA3447"/>
    <w:rsid w:val="00EA37DB"/>
    <w:rsid w:val="00EA4151"/>
    <w:rsid w:val="00EA436D"/>
    <w:rsid w:val="00EA460A"/>
    <w:rsid w:val="00EA4928"/>
    <w:rsid w:val="00EA4964"/>
    <w:rsid w:val="00EA4C80"/>
    <w:rsid w:val="00EA4F1A"/>
    <w:rsid w:val="00EA4F90"/>
    <w:rsid w:val="00EA5169"/>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079"/>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872"/>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3E95"/>
    <w:rsid w:val="00EE41C0"/>
    <w:rsid w:val="00EE4309"/>
    <w:rsid w:val="00EE435E"/>
    <w:rsid w:val="00EE448E"/>
    <w:rsid w:val="00EE48DF"/>
    <w:rsid w:val="00EE4AB3"/>
    <w:rsid w:val="00EE5686"/>
    <w:rsid w:val="00EE5B00"/>
    <w:rsid w:val="00EE5D2B"/>
    <w:rsid w:val="00EE66F6"/>
    <w:rsid w:val="00EE6ABC"/>
    <w:rsid w:val="00EE6AF9"/>
    <w:rsid w:val="00EE7405"/>
    <w:rsid w:val="00EE7788"/>
    <w:rsid w:val="00EE784A"/>
    <w:rsid w:val="00EE7A62"/>
    <w:rsid w:val="00EE7E91"/>
    <w:rsid w:val="00EF01AE"/>
    <w:rsid w:val="00EF01D0"/>
    <w:rsid w:val="00EF033E"/>
    <w:rsid w:val="00EF06EC"/>
    <w:rsid w:val="00EF077E"/>
    <w:rsid w:val="00EF121A"/>
    <w:rsid w:val="00EF1369"/>
    <w:rsid w:val="00EF14FF"/>
    <w:rsid w:val="00EF1A7D"/>
    <w:rsid w:val="00EF1C28"/>
    <w:rsid w:val="00EF2431"/>
    <w:rsid w:val="00EF29BE"/>
    <w:rsid w:val="00EF2AFB"/>
    <w:rsid w:val="00EF2BFE"/>
    <w:rsid w:val="00EF2D85"/>
    <w:rsid w:val="00EF2F44"/>
    <w:rsid w:val="00EF331E"/>
    <w:rsid w:val="00EF3419"/>
    <w:rsid w:val="00EF36FF"/>
    <w:rsid w:val="00EF3760"/>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6FE2"/>
    <w:rsid w:val="00EF70E6"/>
    <w:rsid w:val="00EF72CC"/>
    <w:rsid w:val="00EF7A15"/>
    <w:rsid w:val="00EF7B9B"/>
    <w:rsid w:val="00EF7C5C"/>
    <w:rsid w:val="00F00391"/>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70B"/>
    <w:rsid w:val="00F11E26"/>
    <w:rsid w:val="00F11F55"/>
    <w:rsid w:val="00F11F56"/>
    <w:rsid w:val="00F1207E"/>
    <w:rsid w:val="00F1225A"/>
    <w:rsid w:val="00F1258B"/>
    <w:rsid w:val="00F12D39"/>
    <w:rsid w:val="00F12DEC"/>
    <w:rsid w:val="00F13027"/>
    <w:rsid w:val="00F13151"/>
    <w:rsid w:val="00F13474"/>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B78"/>
    <w:rsid w:val="00F2151C"/>
    <w:rsid w:val="00F21A18"/>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37F80"/>
    <w:rsid w:val="00F407E1"/>
    <w:rsid w:val="00F40851"/>
    <w:rsid w:val="00F40FDC"/>
    <w:rsid w:val="00F4106E"/>
    <w:rsid w:val="00F41148"/>
    <w:rsid w:val="00F413EB"/>
    <w:rsid w:val="00F41746"/>
    <w:rsid w:val="00F41909"/>
    <w:rsid w:val="00F41DB1"/>
    <w:rsid w:val="00F41E79"/>
    <w:rsid w:val="00F4212C"/>
    <w:rsid w:val="00F4251A"/>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838"/>
    <w:rsid w:val="00F70AC2"/>
    <w:rsid w:val="00F70FEF"/>
    <w:rsid w:val="00F711F3"/>
    <w:rsid w:val="00F7125D"/>
    <w:rsid w:val="00F71428"/>
    <w:rsid w:val="00F71EDF"/>
    <w:rsid w:val="00F72FA8"/>
    <w:rsid w:val="00F73AB7"/>
    <w:rsid w:val="00F73CAA"/>
    <w:rsid w:val="00F7410B"/>
    <w:rsid w:val="00F749A7"/>
    <w:rsid w:val="00F74C10"/>
    <w:rsid w:val="00F75415"/>
    <w:rsid w:val="00F75880"/>
    <w:rsid w:val="00F75E7D"/>
    <w:rsid w:val="00F761B9"/>
    <w:rsid w:val="00F764D7"/>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5C9"/>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A45"/>
    <w:rsid w:val="00F97D10"/>
    <w:rsid w:val="00F97F5A"/>
    <w:rsid w:val="00FA031F"/>
    <w:rsid w:val="00FA0890"/>
    <w:rsid w:val="00FA0A6C"/>
    <w:rsid w:val="00FA0F29"/>
    <w:rsid w:val="00FA1094"/>
    <w:rsid w:val="00FA164A"/>
    <w:rsid w:val="00FA18D3"/>
    <w:rsid w:val="00FA1DEF"/>
    <w:rsid w:val="00FA1E2F"/>
    <w:rsid w:val="00FA1F1A"/>
    <w:rsid w:val="00FA28CD"/>
    <w:rsid w:val="00FA3375"/>
    <w:rsid w:val="00FA33E7"/>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AF1"/>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6F81"/>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5A1B"/>
    <w:rsid w:val="00FD600E"/>
    <w:rsid w:val="00FD68D4"/>
    <w:rsid w:val="00FD6BE9"/>
    <w:rsid w:val="00FD70DD"/>
    <w:rsid w:val="00FD7255"/>
    <w:rsid w:val="00FD75A9"/>
    <w:rsid w:val="00FD785F"/>
    <w:rsid w:val="00FD7A91"/>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5C2CA"/>
  <w15:docId w15:val="{06552BBC-F283-4DB3-A576-D6B63BCF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6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 w:type="paragraph" w:customStyle="1" w:styleId="tv213">
    <w:name w:val="tv213"/>
    <w:basedOn w:val="Normal"/>
    <w:rsid w:val="00C331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6463">
      <w:bodyDiv w:val="1"/>
      <w:marLeft w:val="0"/>
      <w:marRight w:val="0"/>
      <w:marTop w:val="0"/>
      <w:marBottom w:val="0"/>
      <w:divBdr>
        <w:top w:val="none" w:sz="0" w:space="0" w:color="auto"/>
        <w:left w:val="none" w:sz="0" w:space="0" w:color="auto"/>
        <w:bottom w:val="none" w:sz="0" w:space="0" w:color="auto"/>
        <w:right w:val="none" w:sz="0" w:space="0" w:color="auto"/>
      </w:divBdr>
      <w:divsChild>
        <w:div w:id="2056923749">
          <w:marLeft w:val="0"/>
          <w:marRight w:val="0"/>
          <w:marTop w:val="0"/>
          <w:marBottom w:val="0"/>
          <w:divBdr>
            <w:top w:val="none" w:sz="0" w:space="0" w:color="auto"/>
            <w:left w:val="none" w:sz="0" w:space="0" w:color="auto"/>
            <w:bottom w:val="none" w:sz="0" w:space="0" w:color="auto"/>
            <w:right w:val="none" w:sz="0" w:space="0" w:color="auto"/>
          </w:divBdr>
          <w:divsChild>
            <w:div w:id="1962490717">
              <w:marLeft w:val="0"/>
              <w:marRight w:val="0"/>
              <w:marTop w:val="0"/>
              <w:marBottom w:val="0"/>
              <w:divBdr>
                <w:top w:val="none" w:sz="0" w:space="0" w:color="auto"/>
                <w:left w:val="none" w:sz="0" w:space="0" w:color="auto"/>
                <w:bottom w:val="none" w:sz="0" w:space="0" w:color="auto"/>
                <w:right w:val="none" w:sz="0" w:space="0" w:color="auto"/>
              </w:divBdr>
              <w:divsChild>
                <w:div w:id="16514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516197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ks.markevic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AAC73-8A65-4913-BB71-0C6E5571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32837</Words>
  <Characters>18718</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"Dzelzceļa drošības noteikumi" (VSS-215)</vt:lpstr>
      <vt:lpstr>Izziņa par atzinumos sniegtajiem iebildumiem par ministru kabineta noteikumu projektu  "Noteikumi par dzelzceļa drošību" (VSS-215)</vt:lpstr>
    </vt:vector>
  </TitlesOfParts>
  <Company>Vides aizsardzības un reģionālās attīstības ministrija</Company>
  <LinksUpToDate>false</LinksUpToDate>
  <CharactersWithSpaces>51453</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"Dzelzceļa drošības noteikumi" (VSS-215)</dc:title>
  <dc:subject>Izziņa</dc:subject>
  <dc:creator>Ilze Jureviča</dc:creator>
  <cp:keywords>Izziņa</cp:keywords>
  <dc:description>Gailīte, 67234308,
linda.gailite@vdzti.gov.lv, Balaša 67028071
Santa.Balasa@mk.gov.lv; Dainis.Lacis@vdzti.gov.lv</dc:description>
  <cp:lastModifiedBy>Nikija V</cp:lastModifiedBy>
  <cp:revision>2</cp:revision>
  <cp:lastPrinted>2018-12-03T10:16:00Z</cp:lastPrinted>
  <dcterms:created xsi:type="dcterms:W3CDTF">2020-05-22T08:43:00Z</dcterms:created>
  <dcterms:modified xsi:type="dcterms:W3CDTF">2020-05-22T08:43:00Z</dcterms:modified>
</cp:coreProperties>
</file>